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b"/>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15"/>
        <w:gridCol w:w="2330"/>
        <w:gridCol w:w="3900"/>
      </w:tblGrid>
      <w:tr>
        <w:trPr/>
        <w:tc>
          <w:tcPr>
            <w:tcW w:w="3115" w:type="dxa"/>
            <w:tcBorders>
              <w:top w:val="nil"/>
              <w:left w:val="nil"/>
              <w:bottom w:val="nil"/>
              <w:right w:val="nil"/>
            </w:tcBorders>
          </w:tcPr>
          <w:p>
            <w:pPr>
              <w:pStyle w:val="NormalWeb"/>
              <w:widowControl w:val="false"/>
              <w:suppressAutoHyphens w:val="true"/>
              <w:spacing w:before="0" w:after="0"/>
              <w:jc w:val="center"/>
              <w:rPr>
                <w:b/>
                <w:b/>
                <w:color w:val="000000"/>
                <w:lang w:val="uk-UA"/>
              </w:rPr>
            </w:pPr>
            <w:r>
              <w:rPr>
                <w:b/>
                <w:color w:val="000000"/>
                <w:lang w:val="uk-UA"/>
              </w:rPr>
            </w:r>
          </w:p>
        </w:tc>
        <w:tc>
          <w:tcPr>
            <w:tcW w:w="2330" w:type="dxa"/>
            <w:tcBorders>
              <w:top w:val="nil"/>
              <w:left w:val="nil"/>
              <w:bottom w:val="nil"/>
              <w:right w:val="nil"/>
            </w:tcBorders>
          </w:tcPr>
          <w:p>
            <w:pPr>
              <w:pStyle w:val="NormalWeb"/>
              <w:widowControl w:val="false"/>
              <w:suppressAutoHyphens w:val="true"/>
              <w:spacing w:before="0" w:after="0"/>
              <w:jc w:val="center"/>
              <w:rPr>
                <w:b/>
                <w:b/>
                <w:color w:val="000000"/>
                <w:lang w:val="uk-UA"/>
              </w:rPr>
            </w:pPr>
            <w:r>
              <w:rPr>
                <w:b/>
                <w:color w:val="000000"/>
                <w:lang w:val="uk-UA"/>
              </w:rPr>
            </w:r>
          </w:p>
        </w:tc>
        <w:tc>
          <w:tcPr>
            <w:tcW w:w="3900" w:type="dxa"/>
            <w:tcBorders>
              <w:top w:val="nil"/>
              <w:left w:val="nil"/>
              <w:bottom w:val="nil"/>
              <w:right w:val="nil"/>
            </w:tcBorders>
          </w:tcPr>
          <w:p>
            <w:pPr>
              <w:pStyle w:val="NormalWeb"/>
              <w:widowControl w:val="false"/>
              <w:suppressAutoHyphens w:val="true"/>
              <w:spacing w:before="0" w:after="0"/>
              <w:jc w:val="left"/>
              <w:rPr>
                <w:b/>
                <w:b/>
                <w:color w:val="000000"/>
                <w:lang w:val="uk-UA"/>
              </w:rPr>
            </w:pPr>
            <w:r>
              <w:rPr>
                <w:b/>
                <w:color w:val="000000"/>
                <w:kern w:val="0"/>
                <w:lang w:val="uk-UA" w:bidi="ar-SA"/>
              </w:rPr>
              <w:t>«ЗАТВЕРДЖЕНО»</w:t>
            </w:r>
          </w:p>
        </w:tc>
      </w:tr>
      <w:tr>
        <w:trPr/>
        <w:tc>
          <w:tcPr>
            <w:tcW w:w="3115" w:type="dxa"/>
            <w:tcBorders>
              <w:top w:val="nil"/>
              <w:left w:val="nil"/>
              <w:bottom w:val="nil"/>
              <w:right w:val="nil"/>
            </w:tcBorders>
          </w:tcPr>
          <w:p>
            <w:pPr>
              <w:pStyle w:val="NormalWeb"/>
              <w:widowControl w:val="false"/>
              <w:suppressAutoHyphens w:val="true"/>
              <w:spacing w:before="0" w:after="0"/>
              <w:jc w:val="center"/>
              <w:rPr>
                <w:b/>
                <w:b/>
                <w:color w:val="000000"/>
                <w:lang w:val="uk-UA"/>
              </w:rPr>
            </w:pPr>
            <w:r>
              <w:rPr>
                <w:b/>
                <w:color w:val="000000"/>
                <w:lang w:val="uk-UA"/>
              </w:rPr>
            </w:r>
          </w:p>
        </w:tc>
        <w:tc>
          <w:tcPr>
            <w:tcW w:w="2330" w:type="dxa"/>
            <w:tcBorders>
              <w:top w:val="nil"/>
              <w:left w:val="nil"/>
              <w:bottom w:val="nil"/>
              <w:right w:val="nil"/>
            </w:tcBorders>
          </w:tcPr>
          <w:p>
            <w:pPr>
              <w:pStyle w:val="NormalWeb"/>
              <w:widowControl w:val="false"/>
              <w:suppressAutoHyphens w:val="true"/>
              <w:spacing w:before="0" w:after="0"/>
              <w:jc w:val="center"/>
              <w:rPr>
                <w:b/>
                <w:b/>
                <w:color w:val="000000"/>
                <w:lang w:val="uk-UA"/>
              </w:rPr>
            </w:pPr>
            <w:r>
              <w:rPr>
                <w:b/>
                <w:color w:val="000000"/>
                <w:lang w:val="uk-UA"/>
              </w:rPr>
            </w:r>
          </w:p>
        </w:tc>
        <w:tc>
          <w:tcPr>
            <w:tcW w:w="3900"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eastAsia="Times New Roman" w:cs="Times New Roman"/>
                <w:color w:val="000000"/>
                <w:sz w:val="24"/>
                <w:szCs w:val="24"/>
                <w:lang w:val="uk-UA"/>
              </w:rPr>
            </w:pPr>
            <w:r>
              <w:rPr>
                <w:rFonts w:eastAsia="Times New Roman" w:cs="Times New Roman" w:ascii="Times New Roman" w:hAnsi="Times New Roman"/>
                <w:color w:val="000000"/>
                <w:kern w:val="0"/>
                <w:sz w:val="24"/>
                <w:szCs w:val="24"/>
                <w:lang w:val="uk-UA" w:eastAsia="en-US" w:bidi="ar-SA"/>
              </w:rPr>
              <w:t>Наказом Директора</w:t>
            </w:r>
          </w:p>
          <w:p>
            <w:pPr>
              <w:pStyle w:val="Normal"/>
              <w:widowControl w:val="false"/>
              <w:suppressAutoHyphens w:val="true"/>
              <w:spacing w:lineRule="auto" w:line="240" w:before="0" w:after="0"/>
              <w:jc w:val="left"/>
              <w:rPr>
                <w:rFonts w:ascii="Times New Roman" w:hAnsi="Times New Roman" w:cs="Times New Roman"/>
                <w:color w:val="000000"/>
                <w:sz w:val="24"/>
                <w:szCs w:val="24"/>
                <w:lang w:val="uk-UA"/>
              </w:rPr>
            </w:pPr>
            <w:r>
              <w:rPr>
                <w:rFonts w:eastAsia="Calibri" w:cs="Times New Roman" w:ascii="Times New Roman" w:hAnsi="Times New Roman"/>
                <w:color w:val="000000"/>
                <w:kern w:val="0"/>
                <w:sz w:val="24"/>
                <w:szCs w:val="24"/>
                <w:lang w:val="uk-UA" w:eastAsia="en-US" w:bidi="ar-SA"/>
              </w:rPr>
              <w:t xml:space="preserve">ТОВ «УкрМедГрупа» </w:t>
            </w:r>
            <w:r>
              <w:rPr>
                <w:rFonts w:eastAsia="Times New Roman" w:cs="Times New Roman" w:ascii="Times New Roman" w:hAnsi="Times New Roman"/>
                <w:color w:val="000000"/>
                <w:kern w:val="0"/>
                <w:sz w:val="24"/>
                <w:szCs w:val="24"/>
                <w:lang w:val="uk-UA" w:eastAsia="en-US" w:bidi="ar-SA"/>
              </w:rPr>
              <w:t>№ ____</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4"/>
                <w:szCs w:val="24"/>
                <w:lang w:val="uk-UA"/>
              </w:rPr>
            </w:pPr>
            <w:r>
              <w:rPr>
                <w:rFonts w:eastAsia="Times New Roman" w:cs="Times New Roman" w:ascii="Times New Roman" w:hAnsi="Times New Roman"/>
                <w:color w:val="000000"/>
                <w:kern w:val="0"/>
                <w:sz w:val="24"/>
                <w:szCs w:val="24"/>
                <w:lang w:val="uk-UA" w:eastAsia="en-US" w:bidi="ar-SA"/>
              </w:rPr>
              <w:t xml:space="preserve">від «___»___________ року </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4"/>
                <w:szCs w:val="24"/>
                <w:lang w:val="uk-UA"/>
              </w:rPr>
            </w:pPr>
            <w:r>
              <w:rPr>
                <w:rFonts w:eastAsia="Times New Roman" w:cs="Times New Roman" w:ascii="Times New Roman" w:hAnsi="Times New Roman"/>
                <w:color w:val="000000"/>
                <w:sz w:val="24"/>
                <w:szCs w:val="24"/>
                <w:lang w:val="uk-UA"/>
              </w:rPr>
            </w:r>
          </w:p>
          <w:p>
            <w:pPr>
              <w:pStyle w:val="Normal"/>
              <w:widowControl w:val="false"/>
              <w:suppressAutoHyphens w:val="true"/>
              <w:spacing w:lineRule="auto" w:line="240" w:before="0" w:after="0"/>
              <w:jc w:val="left"/>
              <w:rPr>
                <w:rFonts w:ascii="Times New Roman" w:hAnsi="Times New Roman" w:cs="Times New Roman"/>
                <w:color w:val="000000"/>
                <w:sz w:val="24"/>
                <w:szCs w:val="24"/>
                <w:lang w:val="uk-UA"/>
              </w:rPr>
            </w:pPr>
            <w:r>
              <w:rPr>
                <w:rFonts w:eastAsia="Times New Roman" w:cs="Times New Roman" w:ascii="Times New Roman" w:hAnsi="Times New Roman"/>
                <w:color w:val="000000"/>
                <w:kern w:val="0"/>
                <w:sz w:val="24"/>
                <w:szCs w:val="24"/>
                <w:lang w:val="uk-UA" w:eastAsia="en-US" w:bidi="ar-SA"/>
              </w:rPr>
              <w:t xml:space="preserve">_________________ </w:t>
            </w:r>
            <w:r>
              <w:rPr>
                <w:rFonts w:eastAsia="Calibri" w:cs="Times New Roman" w:ascii="Times New Roman" w:hAnsi="Times New Roman"/>
                <w:color w:val="000000"/>
                <w:kern w:val="0"/>
                <w:sz w:val="24"/>
                <w:szCs w:val="24"/>
                <w:lang w:val="uk-UA" w:eastAsia="en-US" w:bidi="ar-SA"/>
              </w:rPr>
              <w:t>Милиця К.М.</w:t>
            </w:r>
          </w:p>
        </w:tc>
      </w:tr>
    </w:tbl>
    <w:p>
      <w:pPr>
        <w:pStyle w:val="1"/>
        <w:spacing w:lineRule="auto" w:line="360" w:before="225" w:after="225"/>
        <w:jc w:val="center"/>
        <w:rPr>
          <w:rFonts w:ascii="Times New Roman" w:hAnsi="Times New Roman" w:cs="Times New Roman"/>
          <w:color w:val="000000"/>
          <w:sz w:val="24"/>
          <w:szCs w:val="24"/>
          <w:lang w:val="uk-UA"/>
        </w:rPr>
      </w:pPr>
      <w:r>
        <w:rPr>
          <w:rFonts w:cs="Times New Roman" w:ascii="Times New Roman" w:hAnsi="Times New Roman"/>
          <w:color w:val="000000"/>
          <w:sz w:val="24"/>
          <w:szCs w:val="24"/>
          <w:lang w:val="uk-UA"/>
        </w:rPr>
      </w:r>
    </w:p>
    <w:p>
      <w:pPr>
        <w:pStyle w:val="1"/>
        <w:spacing w:lineRule="auto" w:line="240" w:before="0" w:after="0"/>
        <w:jc w:val="center"/>
        <w:rPr>
          <w:rFonts w:ascii="Times New Roman" w:hAnsi="Times New Roman"/>
        </w:rPr>
      </w:pPr>
      <w:r>
        <w:rPr>
          <w:rFonts w:cs="Times New Roman" w:ascii="Times New Roman" w:hAnsi="Times New Roman"/>
          <w:color w:val="000000"/>
          <w:sz w:val="24"/>
          <w:szCs w:val="24"/>
          <w:lang w:val="uk-UA"/>
        </w:rPr>
        <w:t>ПРАВИЛА ВНУТРІШНЬОГО РОЗПОРЯДКУ</w:t>
      </w:r>
    </w:p>
    <w:p>
      <w:pPr>
        <w:pStyle w:val="1"/>
        <w:spacing w:lineRule="auto" w:line="240" w:before="0" w:after="0"/>
        <w:jc w:val="center"/>
        <w:rPr>
          <w:rFonts w:ascii="Times New Roman" w:hAnsi="Times New Roman"/>
        </w:rPr>
      </w:pPr>
      <w:r>
        <w:rPr>
          <w:rFonts w:cs="Times New Roman" w:ascii="Times New Roman" w:hAnsi="Times New Roman"/>
          <w:color w:val="000000"/>
          <w:sz w:val="24"/>
          <w:szCs w:val="24"/>
          <w:lang w:val="uk-UA"/>
        </w:rPr>
        <w:t>МЕДИЧНОГО ЦЕНТРУ</w:t>
      </w:r>
    </w:p>
    <w:p>
      <w:pPr>
        <w:pStyle w:val="1"/>
        <w:spacing w:lineRule="auto" w:line="240" w:before="0" w:after="0"/>
        <w:jc w:val="center"/>
        <w:rPr>
          <w:rFonts w:ascii="Times New Roman" w:hAnsi="Times New Roman"/>
        </w:rPr>
      </w:pPr>
      <w:r>
        <w:rPr>
          <w:rFonts w:cs="Times New Roman" w:ascii="Times New Roman" w:hAnsi="Times New Roman"/>
          <w:color w:val="000000"/>
          <w:sz w:val="24"/>
          <w:szCs w:val="24"/>
          <w:lang w:val="uk-UA"/>
        </w:rPr>
        <w:t xml:space="preserve"> </w:t>
      </w:r>
      <w:r>
        <w:rPr>
          <w:rFonts w:cs="Times New Roman" w:ascii="Times New Roman" w:hAnsi="Times New Roman"/>
          <w:color w:val="000000"/>
          <w:sz w:val="24"/>
          <w:szCs w:val="24"/>
          <w:lang w:val="uk-UA"/>
        </w:rPr>
        <w:t>ТОВАРИСТВА З ОБМЕЖЕНОЮ ВІДПОВІДАЛЬНІСТЮ</w:t>
      </w:r>
    </w:p>
    <w:p>
      <w:pPr>
        <w:pStyle w:val="1"/>
        <w:spacing w:lineRule="auto" w:line="240" w:before="0" w:after="0"/>
        <w:jc w:val="center"/>
        <w:rPr>
          <w:rFonts w:ascii="Times New Roman" w:hAnsi="Times New Roman"/>
        </w:rPr>
      </w:pPr>
      <w:r>
        <w:rPr>
          <w:rFonts w:cs="Times New Roman" w:ascii="Times New Roman" w:hAnsi="Times New Roman"/>
          <w:color w:val="000000"/>
          <w:sz w:val="24"/>
          <w:szCs w:val="24"/>
          <w:lang w:val="uk-UA"/>
        </w:rPr>
        <w:t xml:space="preserve"> </w:t>
      </w:r>
      <w:r>
        <w:rPr>
          <w:rFonts w:cs="Times New Roman" w:ascii="Times New Roman" w:hAnsi="Times New Roman"/>
          <w:color w:val="000000"/>
          <w:sz w:val="24"/>
          <w:szCs w:val="24"/>
          <w:lang w:val="uk-UA"/>
        </w:rPr>
        <w:t>«</w:t>
      </w:r>
      <w:r>
        <w:rPr>
          <w:rFonts w:cs="Times New Roman" w:ascii="Times New Roman" w:hAnsi="Times New Roman"/>
          <w:kern w:val="2"/>
          <w:sz w:val="24"/>
          <w:szCs w:val="24"/>
          <w:lang w:val="uk-UA"/>
        </w:rPr>
        <w:t>УкрМедГрупа</w:t>
      </w:r>
      <w:r>
        <w:rPr>
          <w:rFonts w:cs="Times New Roman" w:ascii="Times New Roman" w:hAnsi="Times New Roman"/>
          <w:color w:val="000000"/>
          <w:sz w:val="24"/>
          <w:szCs w:val="24"/>
          <w:lang w:val="uk-UA"/>
        </w:rPr>
        <w:t>»</w:t>
      </w:r>
    </w:p>
    <w:p>
      <w:pPr>
        <w:pStyle w:val="Normal"/>
        <w:spacing w:lineRule="auto" w:line="24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widowControl/>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Правила внутрішнього розпорядку МЕДИЧНОГО ЦЕНТРУ ТОВАРИСТВА З ОБМЕЖЕНОЮ ВІДПОВІДАЛЬНІСТЮ «</w:t>
      </w:r>
      <w:r>
        <w:rPr>
          <w:rFonts w:cs="Times New Roman" w:ascii="Times New Roman" w:hAnsi="Times New Roman"/>
          <w:bCs/>
          <w:kern w:val="2"/>
          <w:sz w:val="24"/>
          <w:szCs w:val="24"/>
          <w:lang w:val="uk-UA"/>
        </w:rPr>
        <w:t>УкрМедГрупа</w:t>
      </w:r>
      <w:r>
        <w:rPr>
          <w:rFonts w:cs="Times New Roman" w:ascii="Times New Roman" w:hAnsi="Times New Roman"/>
          <w:sz w:val="24"/>
          <w:szCs w:val="24"/>
          <w:lang w:val="uk-UA"/>
        </w:rPr>
        <w:t>» (</w:t>
      </w:r>
      <w:r>
        <w:rPr>
          <w:rFonts w:cs="Times New Roman" w:ascii="Times New Roman" w:hAnsi="Times New Roman"/>
          <w:b/>
          <w:bCs/>
          <w:i/>
          <w:iCs/>
          <w:sz w:val="24"/>
          <w:szCs w:val="24"/>
          <w:lang w:val="uk-UA"/>
        </w:rPr>
        <w:t>далі за текстом</w:t>
      </w:r>
      <w:r>
        <w:rPr>
          <w:rFonts w:cs="Times New Roman" w:ascii="Times New Roman" w:hAnsi="Times New Roman"/>
          <w:sz w:val="24"/>
          <w:szCs w:val="24"/>
          <w:lang w:val="uk-UA"/>
        </w:rPr>
        <w:t xml:space="preserve"> </w:t>
      </w:r>
      <w:r>
        <w:rPr>
          <w:rFonts w:cs="Times New Roman" w:ascii="Times New Roman" w:hAnsi="Times New Roman"/>
          <w:color w:val="000000" w:themeColor="text1"/>
          <w:sz w:val="22"/>
          <w:szCs w:val="22"/>
          <w:lang w:val="uk-UA"/>
        </w:rPr>
        <w:t>–</w:t>
      </w:r>
      <w:r>
        <w:rPr>
          <w:rFonts w:cs="Times New Roman" w:ascii="Times New Roman" w:hAnsi="Times New Roman"/>
          <w:sz w:val="24"/>
          <w:szCs w:val="24"/>
          <w:lang w:val="uk-UA"/>
        </w:rPr>
        <w:t xml:space="preserve"> «</w:t>
      </w:r>
      <w:r>
        <w:rPr>
          <w:rFonts w:cs="Times New Roman" w:ascii="Times New Roman" w:hAnsi="Times New Roman"/>
          <w:b/>
          <w:bCs/>
          <w:i/>
          <w:iCs/>
          <w:sz w:val="24"/>
          <w:szCs w:val="24"/>
          <w:lang w:val="uk-UA"/>
        </w:rPr>
        <w:t>Правила</w:t>
      </w:r>
      <w:r>
        <w:rPr>
          <w:rFonts w:cs="Times New Roman" w:ascii="Times New Roman" w:hAnsi="Times New Roman"/>
          <w:sz w:val="24"/>
          <w:szCs w:val="24"/>
          <w:lang w:val="uk-UA"/>
        </w:rPr>
        <w:t>») є локальним нормативно-правовим актом, який регламентує порядок звернення пацієнта до МЕДИЧНОГО ЦЕНТРУ ТОВАРИСТВА З ОБМЕЖЕНОЮ ВІДПОВІДАЛЬНІСТЮ «</w:t>
      </w:r>
      <w:r>
        <w:rPr>
          <w:rFonts w:cs="Times New Roman" w:ascii="Times New Roman" w:hAnsi="Times New Roman"/>
          <w:bCs/>
          <w:kern w:val="2"/>
          <w:sz w:val="24"/>
          <w:szCs w:val="24"/>
          <w:lang w:val="uk-UA"/>
        </w:rPr>
        <w:t>УкрМедГрупа</w:t>
      </w:r>
      <w:r>
        <w:rPr>
          <w:rFonts w:cs="Times New Roman" w:ascii="Times New Roman" w:hAnsi="Times New Roman"/>
          <w:sz w:val="24"/>
          <w:szCs w:val="24"/>
          <w:lang w:val="uk-UA"/>
        </w:rPr>
        <w:t>» (</w:t>
      </w:r>
      <w:r>
        <w:rPr>
          <w:rFonts w:cs="Times New Roman" w:ascii="Times New Roman" w:hAnsi="Times New Roman"/>
          <w:b/>
          <w:bCs/>
          <w:i/>
          <w:iCs/>
          <w:sz w:val="24"/>
          <w:szCs w:val="24"/>
          <w:lang w:val="uk-UA"/>
        </w:rPr>
        <w:t>далі за текстом</w:t>
      </w:r>
      <w:r>
        <w:rPr>
          <w:rFonts w:cs="Times New Roman" w:ascii="Times New Roman" w:hAnsi="Times New Roman"/>
          <w:sz w:val="24"/>
          <w:szCs w:val="24"/>
          <w:lang w:val="uk-UA"/>
        </w:rPr>
        <w:t xml:space="preserve"> </w:t>
      </w:r>
      <w:r>
        <w:rPr>
          <w:rFonts w:cs="Times New Roman" w:ascii="Times New Roman" w:hAnsi="Times New Roman"/>
          <w:color w:val="000000" w:themeColor="text1"/>
          <w:sz w:val="22"/>
          <w:szCs w:val="22"/>
          <w:lang w:val="uk-UA"/>
        </w:rPr>
        <w:t>–</w:t>
      </w:r>
      <w:r>
        <w:rPr>
          <w:rFonts w:cs="Times New Roman" w:ascii="Times New Roman" w:hAnsi="Times New Roman"/>
          <w:sz w:val="24"/>
          <w:szCs w:val="24"/>
          <w:lang w:val="uk-UA"/>
        </w:rPr>
        <w:t xml:space="preserve"> «</w:t>
      </w:r>
      <w:r>
        <w:rPr>
          <w:rFonts w:cs="Times New Roman" w:ascii="Times New Roman" w:hAnsi="Times New Roman"/>
          <w:b/>
          <w:bCs/>
          <w:i/>
          <w:iCs/>
          <w:sz w:val="24"/>
          <w:szCs w:val="24"/>
          <w:lang w:val="uk-UA"/>
        </w:rPr>
        <w:t>ЛІКАРНЯ</w:t>
      </w:r>
      <w:r>
        <w:rPr>
          <w:rFonts w:cs="Times New Roman" w:ascii="Times New Roman" w:hAnsi="Times New Roman"/>
          <w:sz w:val="24"/>
          <w:szCs w:val="24"/>
          <w:lang w:val="uk-UA"/>
        </w:rPr>
        <w:t>»), правила поведінки в ЛІКАРНІ, порядок доступу до медичної інформації, та інші питання, пов’язані з регулюванням відносин між пацієнтом та особами, які його супроводжують, іншими відвідувачами і ЛІКАРНЕЮ.</w:t>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jc w:val="center"/>
        <w:rPr>
          <w:rFonts w:ascii="Times New Roman" w:hAnsi="Times New Roman"/>
        </w:rPr>
      </w:pPr>
      <w:r>
        <w:rPr>
          <w:rFonts w:cs="Times New Roman" w:ascii="Times New Roman" w:hAnsi="Times New Roman"/>
          <w:b/>
          <w:sz w:val="24"/>
          <w:szCs w:val="24"/>
          <w:lang w:val="uk-UA"/>
        </w:rPr>
        <w:t>ЗАГАЛЬНІ ПОЛОЖЕННЯ</w:t>
      </w:r>
    </w:p>
    <w:p>
      <w:pPr>
        <w:pStyle w:val="ListParagraph"/>
        <w:widowControl/>
        <w:numPr>
          <w:ilvl w:val="1"/>
          <w:numId w:val="1"/>
        </w:numPr>
        <w:tabs>
          <w:tab w:val="clear" w:pos="708"/>
          <w:tab w:val="left" w:pos="1017"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ЛІКАРНЯ є закладом охорони здоров’я, що надає первинну та спеціалізовану медичну допомогу.</w:t>
      </w:r>
    </w:p>
    <w:p>
      <w:pPr>
        <w:pStyle w:val="ListParagraph"/>
        <w:widowControl/>
        <w:numPr>
          <w:ilvl w:val="1"/>
          <w:numId w:val="1"/>
        </w:numPr>
        <w:tabs>
          <w:tab w:val="clear" w:pos="708"/>
          <w:tab w:val="left" w:pos="1017"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Ці Правила є обов’язковими для виконання всіма пацієнтами, а також іншими особами, що звернулися в ЛІКАРНЮ, розроблені з метою реалізації, передбачених законом прав пацієнта, створення найбільш сприятливих умов надання пацієнту своєчасної медичної допомоги належного обсягу і якості. </w:t>
      </w:r>
    </w:p>
    <w:p>
      <w:pPr>
        <w:pStyle w:val="ListParagraph"/>
        <w:widowControl/>
        <w:tabs>
          <w:tab w:val="clear" w:pos="708"/>
          <w:tab w:val="left" w:pos="1017"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Під </w:t>
      </w:r>
      <w:r>
        <w:rPr>
          <w:rFonts w:cs="Times New Roman" w:ascii="Times New Roman" w:hAnsi="Times New Roman"/>
          <w:i/>
          <w:iCs/>
          <w:sz w:val="24"/>
          <w:szCs w:val="24"/>
          <w:lang w:val="uk-UA"/>
        </w:rPr>
        <w:t>пацієнтом</w:t>
      </w:r>
      <w:r>
        <w:rPr>
          <w:rFonts w:cs="Times New Roman" w:ascii="Times New Roman" w:hAnsi="Times New Roman"/>
          <w:sz w:val="24"/>
          <w:szCs w:val="24"/>
          <w:lang w:val="uk-UA"/>
        </w:rPr>
        <w:t xml:space="preserve"> у цих правилах розуміють як безпосередньо особу, якій надається медична допомога, так і законного представника такої особи.</w:t>
      </w:r>
    </w:p>
    <w:p>
      <w:pPr>
        <w:pStyle w:val="ListParagraph"/>
        <w:widowControl/>
        <w:numPr>
          <w:ilvl w:val="1"/>
          <w:numId w:val="1"/>
        </w:numPr>
        <w:tabs>
          <w:tab w:val="clear" w:pos="708"/>
          <w:tab w:val="left" w:pos="1017"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Ці Правила знаходяться у відкритому доступі в приміщенні ЛІКАРНІ, в Куточку пацієнта, та на сайті ЛІКАРНІ за адресою: ol.zp.ua.</w:t>
      </w:r>
    </w:p>
    <w:p>
      <w:pPr>
        <w:pStyle w:val="ListParagraph"/>
        <w:widowControl/>
        <w:numPr>
          <w:ilvl w:val="1"/>
          <w:numId w:val="1"/>
        </w:numPr>
        <w:tabs>
          <w:tab w:val="clear" w:pos="708"/>
          <w:tab w:val="left" w:pos="1017"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Кожен пацієнт, а також інші особи, які звернулися до ЛІКАРНІ, зобов’язані ознайомитись з цими Правилами та дотримуватись їх.</w:t>
      </w:r>
    </w:p>
    <w:p>
      <w:pPr>
        <w:pStyle w:val="ListParagraph"/>
        <w:widowControl/>
        <w:numPr>
          <w:ilvl w:val="1"/>
          <w:numId w:val="1"/>
        </w:numPr>
        <w:tabs>
          <w:tab w:val="clear" w:pos="708"/>
          <w:tab w:val="left" w:pos="1017"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Факт ознайомлення пацієнта та осіб, які його супроводжують, з цими Правилами засвідчується підписом під час першого відвідування ЛІКАРНІ.</w:t>
      </w:r>
    </w:p>
    <w:p>
      <w:pPr>
        <w:pStyle w:val="ListParagraph"/>
        <w:spacing w:lineRule="auto" w:line="240"/>
        <w:ind w:left="792" w:hanging="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jc w:val="center"/>
        <w:rPr>
          <w:rFonts w:ascii="Times New Roman" w:hAnsi="Times New Roman"/>
        </w:rPr>
      </w:pPr>
      <w:r>
        <w:rPr>
          <w:rFonts w:cs="Times New Roman" w:ascii="Times New Roman" w:hAnsi="Times New Roman"/>
          <w:b/>
          <w:sz w:val="24"/>
          <w:szCs w:val="24"/>
          <w:lang w:val="uk-UA"/>
        </w:rPr>
        <w:t>РЕЖИМ РОБОТИ</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ЛІКАРНЯ надає медичні послуги в дні та години, встановлені Адміністрацією ЛІКАРНІ.</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Адміністрація ЛІКАРНІ має право встановлювати спеціальний режим роботи у вихідні та святкові дні.</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У вихідні та святкові дні, у робочий час, визначений </w:t>
      </w:r>
      <w:r>
        <w:rPr>
          <w:rFonts w:cs="Times New Roman" w:ascii="Times New Roman" w:hAnsi="Times New Roman"/>
          <w:color w:val="000000"/>
          <w:sz w:val="24"/>
          <w:szCs w:val="24"/>
          <w:lang w:val="uk-UA"/>
        </w:rPr>
        <w:t>Адміністрацією ЛІКАРНІ</w:t>
      </w:r>
      <w:r>
        <w:rPr>
          <w:rFonts w:cs="Times New Roman" w:ascii="Times New Roman" w:hAnsi="Times New Roman"/>
          <w:sz w:val="24"/>
          <w:szCs w:val="24"/>
          <w:lang w:val="uk-UA"/>
        </w:rPr>
        <w:t>, медичну допомогу в ЛІКАРНІ надає черговий лікар.</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Графік роботи певних фахівців та особливості запису пацієнтів до них визначаються Адміністрацією ЛІКАРНІ та можуть змінюватись.</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 має право телефонувати своєму лікуючому лікарю виключно у його робочі часи, які визначені графіком праці. Враховуючи конституційні непорушні гарантії на відпочинок, у неробочий час лікуючий лікар не здійснює спілкування з пацієнтами ані особисто, ані за телефоном чи іншими телекомунікаційними засобами зв’язку.</w:t>
      </w:r>
    </w:p>
    <w:p>
      <w:pPr>
        <w:pStyle w:val="ListParagraph"/>
        <w:spacing w:lineRule="auto" w:line="240"/>
        <w:ind w:left="792" w:hanging="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jc w:val="center"/>
        <w:rPr>
          <w:rFonts w:ascii="Times New Roman" w:hAnsi="Times New Roman"/>
        </w:rPr>
      </w:pPr>
      <w:r>
        <w:rPr>
          <w:rFonts w:cs="Times New Roman" w:ascii="Times New Roman" w:hAnsi="Times New Roman"/>
          <w:b/>
          <w:sz w:val="24"/>
          <w:szCs w:val="24"/>
          <w:lang w:val="uk-UA"/>
        </w:rPr>
        <w:t>ПОРЯДОК ЗВЕРНЕННЯ ПАЦІЄНТА ДО ПОЛІКЛІНІЧНОГО ВІДДІЛЕННЯ ЛІКАРНІ</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Медична допомога в Поліклінічному відділенні ЛІКАРНІ, склад якого визначається Положенням про заклад охорони здоров’я ЛІКАРНІ, надається за попереднім записом на прийом до відповідного лікаря (не менш ніж за один день до дня відвідування).</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Прийом пацієнта без попереднього запису можливий лише за наявності вільних місць в графіку роботи відповідного лікаря. Відмова лікаря прийняти пацієнта у зв’язку з відсутністю вільних місць у графіку прийому не вважається порушенням прав пацієнта та отримання медичної допомоги.</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Для отримання медичної допомоги пацієнт зобов’язаний записатися на прийом до відповідного фахівця шляхом звернення до </w:t>
      </w:r>
      <w:r>
        <w:rPr>
          <w:rFonts w:cs="Times New Roman" w:ascii="Times New Roman" w:hAnsi="Times New Roman"/>
          <w:color w:val="000000"/>
          <w:sz w:val="24"/>
          <w:szCs w:val="24"/>
          <w:lang w:val="uk-UA"/>
        </w:rPr>
        <w:t>реєстратури</w:t>
      </w:r>
      <w:r>
        <w:rPr>
          <w:rFonts w:cs="Times New Roman" w:ascii="Times New Roman" w:hAnsi="Times New Roman"/>
          <w:sz w:val="24"/>
          <w:szCs w:val="24"/>
          <w:lang w:val="uk-UA"/>
        </w:rPr>
        <w:t xml:space="preserve"> ЛІКАРНІ або за допомогою електронного сервісу, після чого своєчасно прийти на прийом.</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 під час запису може обрати день та час прийому із наявних вільних місць в графіку прийому певного лікаря.</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Під час запису на прийом, пацієнт повинен чітко вказати послугу або послуги, на яку/які він записується, або сповістити про наявне електронне направлення. За відсутності такої інформації, ЛІКАРНЯ має право відмовити пацієнту в наданні послуги або направити до певного фахівця для проведення первинного огляду, уточнення діагнозу та визначення плану лікування. </w:t>
      </w:r>
    </w:p>
    <w:p>
      <w:pPr>
        <w:pStyle w:val="ListParagraph"/>
        <w:widowControl/>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випадку наявності у пацієнта електронного направлення, пацієнт під час запису на прийом має дотримуватись також вимог розділу 6 цих Правил.</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Якщо пацієнт вже має лікуючого лікаря або обрав самостійно лікуючого лікаря з наявних фахівців, він має повідомити прізвище такого фахівця під час здійснення запису на прийом. У протилежному випадку лікуючий лікар буде визначений ЛІКАРНЕЮ самостійно.</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Якщо пацієнт записався на прийом за допомогою електронного сервісу, адміністратор зв’язується з ним по телефону, аби уточнити достовірність інформації, отриманої в електронному вигляді. </w:t>
      </w:r>
    </w:p>
    <w:p>
      <w:pPr>
        <w:pStyle w:val="ListParagraph"/>
        <w:widowControl/>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Якщо адміністратор не зміг зв’язатися з Пацієнтом або його законним представником за номером телефону, що був вказаний під час запису за допомогою електронного сервісу, такий запис вважається анонімним та анулюється. </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На кожного пацієнта заводиться медична картка в електронному вигляді, яка зберігається у МІС (Медична інформаційна система) ЛІКАРНІ.</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Під час запису пацієнта адміністратори Поліклінічного відділення ЛІКАРНІ виконують перевірку наявності (пошук) електронної медичної картки пацієнта у базі даних МІС ЛІКАРНІ.</w:t>
      </w:r>
    </w:p>
    <w:p>
      <w:pPr>
        <w:pStyle w:val="ListParagraph"/>
        <w:widowControl/>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 разі відсутності медичної картки пацієнта у базі даних МІС ЛІКАРНІ, проводиться пошук інформації про пацієнта у центральній базі даних E-health (Реєстрі пацієнтів в електронній системі охорони здоров’я) та її імпорт до МІС ЛІКАРНІ.</w:t>
      </w:r>
    </w:p>
    <w:p>
      <w:pPr>
        <w:pStyle w:val="ListParagraph"/>
        <w:widowControl/>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 разі відсутності інформації про пацієнта в Реєстрі пацієнтів в електронній системі охорони здоров’я, пацієнту необхідно провести первинну верифікацію. Верифікація проводиться за наявності документів, що посвідчують особу, та копії документа про присвоєння реєстраційного номера облікової картки платника податків (</w:t>
      </w:r>
      <w:r>
        <w:rPr>
          <w:rFonts w:cs="Times New Roman" w:ascii="Times New Roman" w:hAnsi="Times New Roman"/>
          <w:b/>
          <w:bCs/>
          <w:i/>
          <w:iCs/>
          <w:sz w:val="24"/>
          <w:szCs w:val="24"/>
          <w:lang w:val="uk-UA"/>
        </w:rPr>
        <w:t>далі за текстом</w:t>
      </w:r>
      <w:r>
        <w:rPr>
          <w:rFonts w:cs="Times New Roman" w:ascii="Times New Roman" w:hAnsi="Times New Roman"/>
          <w:sz w:val="24"/>
          <w:szCs w:val="24"/>
          <w:lang w:val="uk-UA"/>
        </w:rPr>
        <w:t xml:space="preserve"> </w:t>
      </w:r>
      <w:r>
        <w:rPr>
          <w:rFonts w:cs="Times New Roman" w:ascii="Times New Roman" w:hAnsi="Times New Roman"/>
          <w:color w:val="000000" w:themeColor="text1"/>
          <w:sz w:val="22"/>
          <w:szCs w:val="22"/>
          <w:lang w:val="uk-UA"/>
        </w:rPr>
        <w:t>–</w:t>
      </w:r>
      <w:r>
        <w:rPr>
          <w:rFonts w:cs="Times New Roman" w:ascii="Times New Roman" w:hAnsi="Times New Roman"/>
          <w:sz w:val="24"/>
          <w:szCs w:val="24"/>
          <w:lang w:val="uk-UA"/>
        </w:rPr>
        <w:t xml:space="preserve"> «</w:t>
      </w:r>
      <w:r>
        <w:rPr>
          <w:rFonts w:cs="Times New Roman" w:ascii="Times New Roman" w:hAnsi="Times New Roman"/>
          <w:b/>
          <w:bCs/>
          <w:i/>
          <w:iCs/>
          <w:sz w:val="24"/>
          <w:szCs w:val="24"/>
          <w:lang w:val="uk-UA"/>
        </w:rPr>
        <w:t>РНОКПП</w:t>
      </w:r>
      <w:r>
        <w:rPr>
          <w:rFonts w:cs="Times New Roman" w:ascii="Times New Roman" w:hAnsi="Times New Roman"/>
          <w:sz w:val="24"/>
          <w:szCs w:val="24"/>
          <w:lang w:val="uk-UA"/>
        </w:rPr>
        <w:t>») (крім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pPr>
        <w:pStyle w:val="ListParagraph"/>
        <w:widowControl/>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У разі, якщо верифікації підлягає дитина (малолітня особа/неповнолітня особа </w:t>
      </w:r>
      <w:r>
        <w:rPr>
          <w:rFonts w:cs="Times New Roman" w:ascii="Times New Roman" w:hAnsi="Times New Roman"/>
          <w:color w:val="000000" w:themeColor="text1"/>
          <w:sz w:val="22"/>
          <w:szCs w:val="22"/>
          <w:lang w:val="uk-UA"/>
        </w:rPr>
        <w:t>–</w:t>
      </w:r>
      <w:r>
        <w:rPr>
          <w:rFonts w:cs="Times New Roman" w:ascii="Times New Roman" w:hAnsi="Times New Roman"/>
          <w:sz w:val="24"/>
          <w:szCs w:val="24"/>
          <w:lang w:val="uk-UA"/>
        </w:rPr>
        <w:t xml:space="preserve"> віком до 18 років), то батькам та/або іншим законним представникам необхідно пред’явити свій паспорт, а по відношенню до дитини </w:t>
      </w:r>
      <w:r>
        <w:rPr>
          <w:rFonts w:cs="Times New Roman" w:ascii="Times New Roman" w:hAnsi="Times New Roman"/>
          <w:color w:val="000000" w:themeColor="text1"/>
          <w:sz w:val="22"/>
          <w:szCs w:val="22"/>
          <w:lang w:val="uk-UA"/>
        </w:rPr>
        <w:t>–</w:t>
      </w:r>
      <w:r>
        <w:rPr>
          <w:rFonts w:cs="Times New Roman" w:ascii="Times New Roman" w:hAnsi="Times New Roman"/>
          <w:sz w:val="24"/>
          <w:szCs w:val="24"/>
          <w:lang w:val="uk-UA"/>
        </w:rPr>
        <w:t xml:space="preserve"> паспорт (якщо він є) та свідоцтво про народження.</w:t>
      </w:r>
    </w:p>
    <w:p>
      <w:pPr>
        <w:pStyle w:val="ListParagraph"/>
        <w:widowControl/>
        <w:tabs>
          <w:tab w:val="clear" w:pos="708"/>
          <w:tab w:val="left" w:pos="1133" w:leader="none"/>
        </w:tabs>
        <w:bidi w:val="0"/>
        <w:spacing w:lineRule="auto" w:line="240" w:before="0" w:after="0"/>
        <w:ind w:left="0" w:right="0" w:firstLine="567"/>
        <w:contextualSpacing/>
        <w:jc w:val="both"/>
        <w:rPr>
          <w:rFonts w:ascii="Times New Roman" w:hAnsi="Times New Roman"/>
        </w:rPr>
      </w:pPr>
      <w:r>
        <w:rPr>
          <w:rFonts w:cs="Times New Roman" w:ascii="Times New Roman" w:hAnsi="Times New Roman"/>
          <w:sz w:val="24"/>
          <w:szCs w:val="24"/>
          <w:lang w:val="uk-UA"/>
        </w:rPr>
        <w:t>Особам, інформація про яких відсутня в Реєстрі пацієнтів в електронній системі охорони здоров’я, та які не пройшли верифікацію, медична допомога у межах Програми медичних гарантій не надається, за винятком невідкладних станів.</w:t>
      </w:r>
    </w:p>
    <w:p>
      <w:pPr>
        <w:pStyle w:val="ListParagraph"/>
        <w:widowControl/>
        <w:tabs>
          <w:tab w:val="clear" w:pos="708"/>
          <w:tab w:val="left" w:pos="1133" w:leader="none"/>
        </w:tabs>
        <w:bidi w:val="0"/>
        <w:spacing w:lineRule="auto" w:line="240" w:before="0" w:after="0"/>
        <w:ind w:left="0" w:right="0" w:firstLine="567"/>
        <w:contextualSpacing/>
        <w:jc w:val="both"/>
        <w:rPr>
          <w:rFonts w:cs="Times New Roman"/>
          <w:lang w:val="uk-UA"/>
        </w:rPr>
      </w:pPr>
      <w:r>
        <w:rPr>
          <w:rFonts w:cs="Times New Roman"/>
          <w:lang w:val="uk-UA"/>
        </w:rPr>
      </w:r>
    </w:p>
    <w:p>
      <w:pPr>
        <w:pStyle w:val="Normal"/>
        <w:widowControl/>
        <w:numPr>
          <w:ilvl w:val="1"/>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 xml:space="preserve">При зверненні до ЛІКАРНІ Пацієнт складає та підписує: </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Заяву про приєднання до публічного договору надання медичних послуг та Заяву про ознайомлення з цими Правилами;</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Інформовану добровільну згоду Пацієнта на проведення діагностики, лікування та на проведення операції та знеболення (форма № 003-6/о);</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інші документи, визначені внутрішніми нормативними актами ЛІКАРНІ.</w:t>
      </w:r>
    </w:p>
    <w:p>
      <w:pPr>
        <w:pStyle w:val="Normal"/>
        <w:widowControl/>
        <w:numPr>
          <w:ilvl w:val="1"/>
          <w:numId w:val="1"/>
        </w:numPr>
        <w:tabs>
          <w:tab w:val="clear" w:pos="708"/>
          <w:tab w:val="left" w:pos="400" w:leader="none"/>
          <w:tab w:val="left" w:pos="1192"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У випадках визначених внутрішніми правилами ЛІКАРНІ, окрім дотримання вимог п.п.3.11.2 п.3.11 цих Правил, Пацієнт зобов’язаний власноручним підписом (за  пацієнтів віком до 14 років таке узгодження роблять їхні батьки або інші законні представники) засвідчити свою згоду на медичне втручання за формою, встановленою ЛІКАРНЕЮ.</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разі відмови пацієнта від надання документів, вказаних у п.п.3.9, 3.10 Правил, ЛІКАРНЯ має право відмовити в наданні медичної допомоги.</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ЛІКАРНЯ має право відмовити в наданні медичної допомоги також у випадку відмови Пацієнта чи його законного представника надати свою Інформовану добровільну згоду на медичне втручання (п.п.3.11.2 п.3.11 та п.3.12 Правил).</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 повинен прийти на прийом до Поліклінічного відділення ЛІКАРНІ в призначений час та день та звернутися до реєстратури, повідомивши про своє прибуття.</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Якщо пацієнт не в змозі прийти в призначений час, в разі необхідності скасування самого візиту або зміни призначеного часу візиту, пацієнт зобов’язаний завчасно (не менш ніж за 2 години) попередити адміністратора ЛІКАРНІ, який повинен повідомити лікаря про зміни у графіку прийому.</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разі запізнення Пацієнта більш ніж на 10 (десять) хвилин лікар Поліклінічного відділення ЛІКАРНІ має право відмовити такому пацієнту в прийомі, якщо надання запланованої медичної послуги може призвести до зміни часу прийому наступних пацієнтів, або змінити час початку прийому пацієнта, який запізнився.</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 разі непередбачуваної відсутності лікаря та інших надзвичайних обставин, що перешкоджають наданню медичної допомоги, ЛІКАРНЯ попереджає про це пацієнта при першій можливості за контактним телефоном, який був вказаний пацієнтом. При цьому, за бажанням пацієнта, узгоджується інша дата та час відвідування лікаря або пацієнт спрямовується до іншого лікаря, якщо останній має можливість надати необхідну допомогу.</w:t>
      </w:r>
    </w:p>
    <w:p>
      <w:pPr>
        <w:pStyle w:val="ListParagraph"/>
        <w:widowControl/>
        <w:numPr>
          <w:ilvl w:val="1"/>
          <w:numId w:val="1"/>
        </w:numPr>
        <w:tabs>
          <w:tab w:val="clear" w:pos="708"/>
          <w:tab w:val="left" w:pos="130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Правила позачергового обслуговування.</w:t>
      </w:r>
    </w:p>
    <w:p>
      <w:pPr>
        <w:pStyle w:val="ListParagraph"/>
        <w:widowControl/>
        <w:numPr>
          <w:ilvl w:val="2"/>
          <w:numId w:val="1"/>
        </w:numPr>
        <w:tabs>
          <w:tab w:val="clear" w:pos="708"/>
          <w:tab w:val="left" w:pos="130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 xml:space="preserve">Законом передбачено, що у </w:t>
      </w:r>
      <w:r>
        <w:rPr>
          <w:rFonts w:cs="Times New Roman" w:ascii="Times New Roman" w:hAnsi="Times New Roman"/>
          <w:sz w:val="24"/>
          <w:szCs w:val="24"/>
          <w:lang w:val="uk-UA"/>
        </w:rPr>
        <w:t>ЛІКАРНІ</w:t>
      </w:r>
      <w:r>
        <w:rPr>
          <w:rFonts w:cs="Times New Roman" w:ascii="Times New Roman" w:hAnsi="Times New Roman"/>
          <w:color w:val="000000"/>
          <w:sz w:val="24"/>
          <w:szCs w:val="24"/>
          <w:lang w:val="uk-UA"/>
        </w:rPr>
        <w:t xml:space="preserve"> право на позачергове обслуговування мають діти з багатодітних сімей, особи з інвалідністю першої та другої груп, особи, які постраждали внаслідок Чорнобильської катастрофи, інших ядерних аварій та випробувань, військових навчань із застосуванням ядерної зброї, ветерани військової служби, ветерани органів внутрішніх справ, ветеранам Національної поліції, ветерани податкової міліції, ветерани державної пожежної охорони, ветерани Державної кримінально-виконавчої служби України, ветерани служби цивільного захисту, ветеранам Державної служби спеціального зв’язку та захисту інформації України інші особи, прямо визначені законом.</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З метою уникнення черг, усі громадяни у тому числі і ті, які мають встановлені законом права на позачергове обслуговування зобов’язані заздалегідь записуватись до лікаря.</w:t>
      </w:r>
    </w:p>
    <w:p>
      <w:pPr>
        <w:pStyle w:val="ListParagraph"/>
        <w:widowControl/>
        <w:numPr>
          <w:ilvl w:val="2"/>
          <w:numId w:val="1"/>
        </w:numPr>
        <w:tabs>
          <w:tab w:val="clear" w:pos="708"/>
          <w:tab w:val="left" w:pos="130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Використання попереднього запису цілком усуває потребу для пільгових категорій громадян на витрачання свого часу в черзі, чекаючи прийому лікаря, що повністю відповідає меті, задля якої такі пільги були встановлені законом, а також не вимушує інших громадян витрачати свій час поза межами запланованого, що упереджає конфлікти та сприяє доброзичливості між пацієнтами.</w:t>
      </w:r>
    </w:p>
    <w:p>
      <w:pPr>
        <w:pStyle w:val="ListParagraph"/>
        <w:widowControl/>
        <w:numPr>
          <w:ilvl w:val="1"/>
          <w:numId w:val="1"/>
        </w:numPr>
        <w:tabs>
          <w:tab w:val="clear" w:pos="708"/>
          <w:tab w:val="left" w:pos="1192" w:leader="none"/>
        </w:tabs>
        <w:bidi w:val="0"/>
        <w:spacing w:lineRule="auto" w:line="240" w:before="0" w:after="0"/>
        <w:ind w:left="0" w:right="0" w:firstLine="567"/>
        <w:contextualSpacing/>
        <w:jc w:val="both"/>
        <w:rPr>
          <w:rFonts w:ascii="Times New Roman" w:hAnsi="Times New Roman"/>
        </w:rPr>
      </w:pPr>
      <w:r>
        <w:rPr>
          <w:rFonts w:cs="Times New Roman" w:ascii="Times New Roman" w:hAnsi="Times New Roman"/>
          <w:color w:val="000000"/>
          <w:sz w:val="24"/>
          <w:szCs w:val="24"/>
          <w:lang w:val="uk-UA"/>
        </w:rPr>
        <w:t xml:space="preserve">Положення цього розділу стосуються і законних представників пацієнтів, та інших відвідувачів, якщо вони здійснюють запис пацієнта на прийом, та/або супроводжують його під час відвідування </w:t>
      </w:r>
      <w:r>
        <w:rPr>
          <w:rFonts w:cs="Times New Roman" w:ascii="Times New Roman" w:hAnsi="Times New Roman"/>
          <w:sz w:val="24"/>
          <w:szCs w:val="24"/>
          <w:lang w:val="uk-UA"/>
        </w:rPr>
        <w:t>Поліклінічного відділення ЛІКАРНІ</w:t>
      </w:r>
      <w:r>
        <w:rPr>
          <w:rFonts w:cs="Times New Roman" w:ascii="Times New Roman" w:hAnsi="Times New Roman"/>
          <w:color w:val="000000"/>
          <w:sz w:val="24"/>
          <w:szCs w:val="24"/>
          <w:lang w:val="uk-UA"/>
        </w:rPr>
        <w:t>.</w:t>
      </w:r>
    </w:p>
    <w:p>
      <w:pPr>
        <w:pStyle w:val="Normal"/>
        <w:widowControl/>
        <w:numPr>
          <w:ilvl w:val="1"/>
          <w:numId w:val="1"/>
        </w:numPr>
        <w:tabs>
          <w:tab w:val="clear" w:pos="708"/>
          <w:tab w:val="left" w:pos="1192"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Час початку надання медичних послуг може відбуватися з невеликим очікуванням (це обумовлено тим, що у всіх пацієнтів різні проблеми та патології, тривалість консультації пацієнта може перебільшувати запланований час і початок наступної консультації або обстеження може затриматись). Таке затримання не вважається порушенням умов надання медичних послуг.</w:t>
      </w:r>
    </w:p>
    <w:p>
      <w:pPr>
        <w:pStyle w:val="Normal"/>
        <w:widowControl/>
        <w:numPr>
          <w:ilvl w:val="1"/>
          <w:numId w:val="1"/>
        </w:numPr>
        <w:tabs>
          <w:tab w:val="clear" w:pos="708"/>
          <w:tab w:val="left" w:pos="1192"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Пацієнт, який бажає отримати медичні послуги у межах Програми медичних гарантій, повинен мати:</w:t>
      </w:r>
    </w:p>
    <w:p>
      <w:pPr>
        <w:pStyle w:val="Normal"/>
        <w:widowControl/>
        <w:numPr>
          <w:ilvl w:val="2"/>
          <w:numId w:val="1"/>
        </w:numPr>
        <w:tabs>
          <w:tab w:val="clear" w:pos="708"/>
          <w:tab w:val="left" w:pos="130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Для отримання первинної медичної допомоги – укладену з лікарем ЛІКАРНІ Декларацію про вибір лікаря, який надає первинну медичну допомогу.</w:t>
      </w:r>
    </w:p>
    <w:p>
      <w:pPr>
        <w:pStyle w:val="Normal"/>
        <w:widowControl/>
        <w:numPr>
          <w:ilvl w:val="2"/>
          <w:numId w:val="1"/>
        </w:numPr>
        <w:tabs>
          <w:tab w:val="clear" w:pos="708"/>
          <w:tab w:val="left" w:pos="130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Для отримання спеціалізованої медичної допомоги – електронне направлення.</w:t>
      </w:r>
    </w:p>
    <w:p>
      <w:pPr>
        <w:pStyle w:val="Normal"/>
        <w:widowControl/>
        <w:numPr>
          <w:ilvl w:val="1"/>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Електронне направлення не є обов’язковим у випадках:</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bookmarkStart w:id="0" w:name="n24"/>
      <w:bookmarkEnd w:id="0"/>
      <w:r>
        <w:rPr>
          <w:rFonts w:cs="Times New Roman" w:ascii="Times New Roman" w:hAnsi="Times New Roman"/>
          <w:sz w:val="24"/>
          <w:szCs w:val="24"/>
          <w:lang w:val="uk-UA"/>
        </w:rPr>
        <w:t>отримання первинної медичної допомоги;</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bookmarkStart w:id="1" w:name="n25"/>
      <w:bookmarkEnd w:id="1"/>
      <w:r>
        <w:rPr>
          <w:rFonts w:cs="Times New Roman" w:ascii="Times New Roman" w:hAnsi="Times New Roman"/>
          <w:sz w:val="24"/>
          <w:szCs w:val="24"/>
          <w:lang w:val="uk-UA"/>
        </w:rPr>
        <w:t>звернення за отриманням спеціалізованої медичної допомоги в амбулаторних умовах до акушера-гінеколога, психіатра, нарколога, стоматолога, педіатра, фтизіатра;</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bookmarkStart w:id="2" w:name="n26"/>
      <w:bookmarkEnd w:id="2"/>
      <w:r>
        <w:rPr>
          <w:rFonts w:cs="Times New Roman" w:ascii="Times New Roman" w:hAnsi="Times New Roman"/>
          <w:sz w:val="24"/>
          <w:szCs w:val="24"/>
          <w:lang w:val="uk-UA"/>
        </w:rPr>
        <w:t>консультування та тестування на ВІЛ-інфекцію;</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bookmarkStart w:id="3" w:name="n27"/>
      <w:bookmarkEnd w:id="3"/>
      <w:r>
        <w:rPr>
          <w:rFonts w:cs="Times New Roman" w:ascii="Times New Roman" w:hAnsi="Times New Roman"/>
          <w:sz w:val="24"/>
          <w:szCs w:val="24"/>
          <w:lang w:val="uk-UA"/>
        </w:rPr>
        <w:t>отримання платних послуг;</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невідкладні стани пацієнта;</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bookmarkStart w:id="4" w:name="n28"/>
      <w:bookmarkEnd w:id="4"/>
      <w:r>
        <w:rPr>
          <w:rFonts w:cs="Times New Roman" w:ascii="Times New Roman" w:hAnsi="Times New Roman"/>
          <w:sz w:val="24"/>
          <w:szCs w:val="24"/>
          <w:lang w:val="uk-UA"/>
        </w:rPr>
        <w:t>інших випадках, передбачених законодавством.</w:t>
      </w:r>
    </w:p>
    <w:p>
      <w:pPr>
        <w:pStyle w:val="Normal"/>
        <w:spacing w:lineRule="auto" w:line="240" w:before="0" w:after="0"/>
        <w:ind w:left="792" w:hanging="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before="0" w:after="0"/>
        <w:contextualSpacing/>
        <w:jc w:val="center"/>
        <w:rPr>
          <w:rFonts w:ascii="Times New Roman" w:hAnsi="Times New Roman"/>
        </w:rPr>
      </w:pPr>
      <w:r>
        <w:rPr>
          <w:rFonts w:cs="Times New Roman" w:ascii="Times New Roman" w:hAnsi="Times New Roman"/>
          <w:b/>
          <w:sz w:val="24"/>
          <w:szCs w:val="24"/>
          <w:lang w:val="uk-UA"/>
        </w:rPr>
        <w:t>ПОРЯДОК ЗВЕРНЕННЯ ПАЦІЄНТА ДО СТАЦІОНАРНОГО ВІДДІЛЕННЯ ЛІКАРНІ</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Пацієнт, який бажає отримати медичну допомогу у Стаціонарному відділенні ЛІКАРНІ, склад якого визначається Положенням про заклад охорони здоров’я ЛІКАРНІ, має звернутись до Приймального відділення, та виконати дії, що передбачені п.п.3.9 – 3.12 цих Правил.</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У випадку наявності у пацієнта електронного направлення, пацієнт додатково має дотримуватись вимог розділу 6 цих Правил.</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Після виконання вимог, що викладені у п.п.4.1, 4.2 цих Правил, пацієнту призначається лікар, який здійснює первинний огляд пацієнта та визначає реальну потребу в отриманні пацієнтом медичних послуг у Стаціонарному відділенні ЛІКАРНІ.</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У випадку встановлення (підтвердження) показників для госпіталізації пацієнта, з пацієнтом узгоджується дата та час такої госпіталізації.</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У випадку відсутності показів для госпіталізації, пацієнту надаються відповідні рекомендації та він скеровується до відповідного фахівця або до відповідного закладу охорони здоров’я. Отримання таких послуг відбувається у загальному порядку, шляхом попереднього запису.</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Пацієнтам, яких доставили бригадою екстреної (швидкої) медичної допомоги, медична допомога надається в залежності від стану, в якому перебуває такий пацієнт.</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 xml:space="preserve">Якщо під час обстеження пацієнта </w:t>
      </w:r>
      <w:r>
        <w:rPr>
          <w:rFonts w:eastAsia="Times New Roman" w:cs="Times New Roman" w:ascii="Times New Roman" w:hAnsi="Times New Roman"/>
          <w:color w:val="000000"/>
          <w:sz w:val="24"/>
          <w:szCs w:val="24"/>
          <w:lang w:val="uk-UA"/>
        </w:rPr>
        <w:t>буде встановлено наявність патологій, лікування яких вимагає скерування Пацієнта до іншого закладу охорони здоров’я, ЛІКАРНЯ відмовляє у наданні медичних послуг, які вона нездатна надати, та скеровує пацієнта до іншого закладу охорони здоров’я</w:t>
      </w:r>
      <w:r>
        <w:rPr>
          <w:rFonts w:cs="Times New Roman" w:ascii="Times New Roman" w:hAnsi="Times New Roman"/>
          <w:sz w:val="24"/>
          <w:szCs w:val="24"/>
          <w:lang w:val="uk-UA"/>
        </w:rPr>
        <w:t>.</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Пацієнти, які самостійно звернулись до приймального відділення без електронного направлення, але у станах, які дають підстави підозрювати наявність потреби в наданні невідкладної медичної допомоги, обслуговуються у загальному порядку без електронного направлення.</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Право пацієнта, який перебуває на стаціонарному лікуванні в ЛІКАРНІ, на допуск до нього інших медичних працівників, членів сім’ї, опікуна, піклувальника, нотаріуса та адвоката, а також священнослужителя для відправлення богослужіння та релігійного обряду, реалізується у відповідні години, що визначені адміністрацією ЛІКАРНІ для відвідувань, з урахуванням обмежень що визначаються станом здоров’я пацієнта, а також обмежень щодо кількості осіб, які мають право одночасно перебувати у палаті пацієнта, та карантинних обмежень.</w:t>
      </w:r>
    </w:p>
    <w:p>
      <w:pPr>
        <w:pStyle w:val="Normal"/>
        <w:widowControl/>
        <w:numPr>
          <w:ilvl w:val="1"/>
          <w:numId w:val="1"/>
        </w:numPr>
        <w:tabs>
          <w:tab w:val="clear" w:pos="708"/>
          <w:tab w:val="left" w:pos="1075"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Пацієнти, які перебувають на стаціонарному лікуванні у відділеннях інтенсивної терапії (</w:t>
      </w:r>
      <w:r>
        <w:rPr>
          <w:rFonts w:cs="Times New Roman" w:ascii="Times New Roman" w:hAnsi="Times New Roman"/>
          <w:b/>
          <w:bCs/>
          <w:i/>
          <w:iCs/>
          <w:sz w:val="24"/>
          <w:szCs w:val="24"/>
          <w:lang w:val="uk-UA"/>
        </w:rPr>
        <w:t>далі за текстом</w:t>
      </w:r>
      <w:r>
        <w:rPr>
          <w:rFonts w:cs="Times New Roman" w:ascii="Times New Roman" w:hAnsi="Times New Roman"/>
          <w:sz w:val="24"/>
          <w:szCs w:val="24"/>
          <w:lang w:val="uk-UA"/>
        </w:rPr>
        <w:t xml:space="preserve"> </w:t>
      </w:r>
      <w:r>
        <w:rPr>
          <w:rFonts w:cs="Times New Roman" w:ascii="Times New Roman" w:hAnsi="Times New Roman"/>
          <w:color w:val="000000" w:themeColor="text1"/>
          <w:sz w:val="22"/>
          <w:szCs w:val="22"/>
          <w:lang w:val="uk-UA"/>
        </w:rPr>
        <w:t>–</w:t>
      </w:r>
      <w:r>
        <w:rPr>
          <w:rFonts w:cs="Times New Roman" w:ascii="Times New Roman" w:hAnsi="Times New Roman"/>
          <w:sz w:val="24"/>
          <w:szCs w:val="24"/>
          <w:lang w:val="uk-UA"/>
        </w:rPr>
        <w:t xml:space="preserve"> «</w:t>
      </w:r>
      <w:r>
        <w:rPr>
          <w:rFonts w:cs="Times New Roman" w:ascii="Times New Roman" w:hAnsi="Times New Roman"/>
          <w:b/>
          <w:bCs/>
          <w:i/>
          <w:iCs/>
          <w:sz w:val="24"/>
          <w:szCs w:val="24"/>
          <w:lang w:val="uk-UA"/>
        </w:rPr>
        <w:t>ВІТ</w:t>
      </w:r>
      <w:r>
        <w:rPr>
          <w:rFonts w:cs="Times New Roman" w:ascii="Times New Roman" w:hAnsi="Times New Roman"/>
          <w:sz w:val="24"/>
          <w:szCs w:val="24"/>
          <w:lang w:val="uk-UA"/>
        </w:rPr>
        <w:t>»), мають право на доступ до них відвідувачів 24 години на добу в будь-який день тижня у наступному порядку:</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Тільки одному з відвідувачів дозволяється перебувати біля ліжка пацієнта у ВІТ без часових об</w:t>
      </w:r>
      <w:r>
        <w:rPr>
          <w:rFonts w:cs="Times New Roman" w:ascii="Times New Roman" w:hAnsi="Times New Roman"/>
          <w:sz w:val="24"/>
          <w:szCs w:val="24"/>
          <w:shd w:fill="auto" w:val="clear"/>
          <w:lang w:val="uk-UA"/>
        </w:rPr>
        <w:t xml:space="preserve">межень. Усі інші мають право перебувати біля ліжка пацієнта у ВІТ не більше </w:t>
      </w:r>
      <w:r>
        <w:rPr>
          <w:rFonts w:cs="Times New Roman" w:ascii="Times New Roman" w:hAnsi="Times New Roman"/>
          <w:sz w:val="24"/>
          <w:szCs w:val="24"/>
          <w:shd w:fill="auto" w:val="clear"/>
          <w:lang w:val="ru-RU"/>
        </w:rPr>
        <w:t>120</w:t>
      </w:r>
      <w:r>
        <w:rPr>
          <w:rFonts w:cs="Times New Roman" w:ascii="Times New Roman" w:hAnsi="Times New Roman"/>
          <w:sz w:val="24"/>
          <w:szCs w:val="24"/>
          <w:shd w:fill="auto" w:val="clear"/>
          <w:lang w:val="uk-UA"/>
        </w:rPr>
        <w:t xml:space="preserve"> хвилин </w:t>
      </w:r>
      <w:r>
        <w:rPr>
          <w:rFonts w:cs="Times New Roman" w:ascii="Times New Roman" w:hAnsi="Times New Roman"/>
          <w:sz w:val="24"/>
          <w:szCs w:val="24"/>
          <w:shd w:fill="auto" w:val="clear"/>
          <w:lang w:val="ru-RU"/>
        </w:rPr>
        <w:t xml:space="preserve">(2 години) </w:t>
      </w:r>
      <w:r>
        <w:rPr>
          <w:rFonts w:cs="Times New Roman" w:ascii="Times New Roman" w:hAnsi="Times New Roman"/>
          <w:sz w:val="24"/>
          <w:szCs w:val="24"/>
          <w:shd w:fill="auto" w:val="clear"/>
          <w:lang w:val="uk-UA"/>
        </w:rPr>
        <w:t xml:space="preserve">поспіль, та не більше </w:t>
      </w:r>
      <w:r>
        <w:rPr>
          <w:rFonts w:cs="Times New Roman" w:ascii="Times New Roman" w:hAnsi="Times New Roman"/>
          <w:sz w:val="24"/>
          <w:szCs w:val="24"/>
          <w:shd w:fill="auto" w:val="clear"/>
          <w:lang w:val="ru-RU"/>
        </w:rPr>
        <w:t>2 (двох)</w:t>
      </w:r>
      <w:r>
        <w:rPr>
          <w:rFonts w:cs="Times New Roman" w:ascii="Times New Roman" w:hAnsi="Times New Roman"/>
          <w:sz w:val="24"/>
          <w:szCs w:val="24"/>
          <w:shd w:fill="auto" w:val="clear"/>
          <w:lang w:val="uk-UA"/>
        </w:rPr>
        <w:t xml:space="preserve"> разів на добу. Мінімальна перерва між такими відвідуваннями має становити не менше ніж </w:t>
      </w:r>
      <w:r>
        <w:rPr>
          <w:rFonts w:cs="Times New Roman" w:ascii="Times New Roman" w:hAnsi="Times New Roman"/>
          <w:sz w:val="24"/>
          <w:szCs w:val="24"/>
          <w:shd w:fill="auto" w:val="clear"/>
          <w:lang w:val="ru-RU"/>
        </w:rPr>
        <w:t>6 (ш</w:t>
      </w:r>
      <w:r>
        <w:rPr>
          <w:rFonts w:cs="Times New Roman" w:ascii="Times New Roman" w:hAnsi="Times New Roman"/>
          <w:sz w:val="24"/>
          <w:szCs w:val="24"/>
          <w:shd w:fill="auto" w:val="clear"/>
          <w:lang w:val="uk-UA"/>
        </w:rPr>
        <w:t>і</w:t>
      </w:r>
      <w:r>
        <w:rPr>
          <w:rFonts w:cs="Times New Roman" w:ascii="Times New Roman" w:hAnsi="Times New Roman"/>
          <w:sz w:val="24"/>
          <w:szCs w:val="24"/>
          <w:shd w:fill="auto" w:val="clear"/>
          <w:lang w:val="ru-RU"/>
        </w:rPr>
        <w:t xml:space="preserve">сть) </w:t>
      </w:r>
      <w:r>
        <w:rPr>
          <w:rFonts w:cs="Times New Roman" w:ascii="Times New Roman" w:hAnsi="Times New Roman"/>
          <w:sz w:val="24"/>
          <w:szCs w:val="24"/>
          <w:shd w:fill="auto" w:val="clear"/>
          <w:lang w:val="uk-UA"/>
        </w:rPr>
        <w:t>годин.</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shd w:fill="auto" w:val="clear"/>
          <w:lang w:val="uk-UA"/>
        </w:rPr>
        <w:t xml:space="preserve">Відвідувач, який буде мати право перебувати біля ліжка пацієнта у ВІТ без часових обмежень визначається або самим пацієнтом, або, у випадку неможливості для пацієнта зробити </w:t>
      </w:r>
      <w:r>
        <w:rPr>
          <w:rFonts w:cs="Times New Roman" w:ascii="Times New Roman" w:hAnsi="Times New Roman"/>
          <w:sz w:val="24"/>
          <w:szCs w:val="24"/>
          <w:lang w:val="uk-UA"/>
        </w:rPr>
        <w:t>такий вибір, за згодою його найближчих родичів.</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Особи, що не є батьками пацієнта-дитини, мають право на допуск до пацієнта-дитини за умови наявності згоди одного з батьків пацієнта-дитини або законних представників.</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В палаті ВІТ біля одного пацієнта одночасно можуть знаходитися не більше двох відвідувачів.</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Відвідувачі повинні ставитися з повагою до приватності та спокою як пацієнта, якого вони відвідують, так і інших пацієнтів, які знаходяться в палаті ВІТ. Відвідувачам не дозволяється заходити в інші палати чи приміщення, втручатися в питання, пов’язані зі станом здоров’я пацієнтів. Відвідувачі не повинні перешкоджати виконанню медичними працівниками своїх професійних обов’язків та зобов’язані виконувати вимоги внутрішнього розпорядку ВІТ, вимоги медичного персоналу та дотримуватись загальних положень цих Правил.</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Відвідувачі зобов’язані дотримуватися вимог санітарно-протиепідемічного режиму, визначеного адміністрацією ЛІКАРНІ, з урахуванням санітарно-епідемічної ситуації.</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Відвідувачі зобов’язані утримуватись від відвідування пацієнта, якщо у них спостерігаються прояви інфекційних захворювань або вони нещодавно мали контакт з носієм інфекційного захворювання, який може створити загрозу для здоров’я пацієнтів ВІТ.</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Відвідувачі не допускаються до ВІТ у випадку гострих проявів інфекційних захворювань, у стані алкогольного чи наркотичного сп’яніння, про що медичними працівниками робиться відповідний запис в медичній документації в установленому законодавством порядку.</w:t>
      </w:r>
    </w:p>
    <w:p>
      <w:pPr>
        <w:pStyle w:val="Normal"/>
        <w:widowControl/>
        <w:numPr>
          <w:ilvl w:val="2"/>
          <w:numId w:val="1"/>
        </w:numPr>
        <w:tabs>
          <w:tab w:val="clear" w:pos="708"/>
          <w:tab w:val="left" w:pos="1250"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У випадках ґрунтовної підозри щодо стану здоров’я відвідувача, будь-який працівник ВІТ чи ЛІКАРНІ має право вимагати від відвідувача пройти необхідне медичне обстеження або надати медичні документи, які підтверджують, що стан здоров’я відвідувача не становить загрози для пацієнтів ВІТ. Відвідувачі не допускаються до ВІТ у випадку їхньої відмови пройти відповідне медичне обстеження, або надати медичні документи, які підтверджують, що їх стан здоров’я не становить загрози для пацієнтів ВІТ.</w:t>
      </w:r>
    </w:p>
    <w:p>
      <w:pPr>
        <w:pStyle w:val="Normal"/>
        <w:widowControl/>
        <w:numPr>
          <w:ilvl w:val="2"/>
          <w:numId w:val="1"/>
        </w:numPr>
        <w:tabs>
          <w:tab w:val="clear" w:pos="708"/>
          <w:tab w:val="left" w:pos="1367"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Відвідувачам категорично заборонено втручатися в роботу медичного персоналу ВІТ, обладнання ВІТ, будь-яким іншим чином перешкоджати процесу лікування.</w:t>
      </w:r>
    </w:p>
    <w:p>
      <w:pPr>
        <w:pStyle w:val="Normal"/>
        <w:widowControl/>
        <w:numPr>
          <w:ilvl w:val="2"/>
          <w:numId w:val="1"/>
        </w:numPr>
        <w:tabs>
          <w:tab w:val="clear" w:pos="708"/>
          <w:tab w:val="left" w:pos="1367"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При необхідності проведення у палаті невідкладних дій медичного характеру медичні працівники мають право вимагати від відвідувачів тимчасово залишити палату ВІТ. Така вимога медичного працівника є обов’язковою до виконання.</w:t>
      </w:r>
    </w:p>
    <w:p>
      <w:pPr>
        <w:pStyle w:val="Normal"/>
        <w:widowControl/>
        <w:numPr>
          <w:ilvl w:val="2"/>
          <w:numId w:val="1"/>
        </w:numPr>
        <w:tabs>
          <w:tab w:val="clear" w:pos="708"/>
          <w:tab w:val="left" w:pos="1367"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У випадку порушення відвідувачем вимог, встановлених п.п.4.10.1.-4.10.6. цих Правил, допуск такої особи до пацієнта може бути обмежений за рішенням лікуючого або чергового лікаря.</w:t>
      </w:r>
    </w:p>
    <w:p>
      <w:pPr>
        <w:pStyle w:val="Normal"/>
        <w:widowControl/>
        <w:numPr>
          <w:ilvl w:val="2"/>
          <w:numId w:val="1"/>
        </w:numPr>
        <w:tabs>
          <w:tab w:val="clear" w:pos="708"/>
          <w:tab w:val="left" w:pos="1367" w:leader="none"/>
        </w:tabs>
        <w:bidi w:val="0"/>
        <w:spacing w:lineRule="auto" w:line="240" w:before="0" w:after="0"/>
        <w:ind w:left="0" w:right="0" w:firstLine="567"/>
        <w:jc w:val="both"/>
        <w:rPr>
          <w:rFonts w:ascii="Times New Roman" w:hAnsi="Times New Roman"/>
        </w:rPr>
      </w:pPr>
      <w:r>
        <w:rPr>
          <w:rFonts w:cs="Times New Roman" w:ascii="Times New Roman" w:hAnsi="Times New Roman"/>
          <w:sz w:val="24"/>
          <w:szCs w:val="24"/>
          <w:lang w:val="uk-UA"/>
        </w:rPr>
        <w:t xml:space="preserve">Якщо під час цілодобового перебування одного відвідувача біля пацієнта такий відвідувач виявить потребу у окремому ліжку (окремій палаті), харчуванні, та інших послугах, такі послуги для відвідувача є платними та надаються за умов здатності ЛІКАРНІ їх запропонувати. </w:t>
      </w:r>
    </w:p>
    <w:p>
      <w:pPr>
        <w:pStyle w:val="ListParagraph"/>
        <w:spacing w:lineRule="auto" w:line="240"/>
        <w:ind w:left="792" w:hanging="0"/>
        <w:jc w:val="both"/>
        <w:rPr>
          <w:rFonts w:ascii="Times New Roman" w:hAnsi="Times New Roman" w:cs="Times New Roman"/>
          <w:color w:val="000000"/>
          <w:sz w:val="24"/>
          <w:szCs w:val="24"/>
          <w:lang w:val="uk-UA"/>
        </w:rPr>
      </w:pPr>
      <w:r>
        <w:rPr>
          <w:rFonts w:cs="Times New Roman" w:ascii="Times New Roman" w:hAnsi="Times New Roman"/>
          <w:color w:val="000000"/>
          <w:sz w:val="24"/>
          <w:szCs w:val="24"/>
          <w:lang w:val="uk-UA"/>
        </w:rPr>
      </w:r>
    </w:p>
    <w:p>
      <w:pPr>
        <w:pStyle w:val="ListParagraph"/>
        <w:numPr>
          <w:ilvl w:val="0"/>
          <w:numId w:val="1"/>
        </w:numPr>
        <w:spacing w:lineRule="auto" w:line="240" w:before="0" w:after="0"/>
        <w:contextualSpacing/>
        <w:jc w:val="center"/>
        <w:rPr>
          <w:rFonts w:ascii="Times New Roman" w:hAnsi="Times New Roman"/>
        </w:rPr>
      </w:pPr>
      <w:r>
        <w:rPr>
          <w:rFonts w:cs="Times New Roman" w:ascii="Times New Roman" w:hAnsi="Times New Roman"/>
          <w:b/>
          <w:sz w:val="24"/>
          <w:szCs w:val="24"/>
          <w:lang w:val="uk-UA"/>
        </w:rPr>
        <w:t>ПОРЯДОК ЗДІЙСНЕННЯ НАПРАВЛЕННЯ ПАЦІЄНТА ДО ІНШИХ ЛІКАРІВ (ІНШИХ ЗАКЛАДІВ ОХОРОНИ ЗДОРОВ’Я) ТА ДЛЯ ЗДІЙСНЕННЯ ДІАГНОСТИЧНИХ ДОСЛІДЖЕНЬ</w:t>
      </w:r>
      <w:r>
        <w:rPr>
          <w:rFonts w:cs="Times New Roman" w:ascii="Times New Roman" w:hAnsi="Times New Roman"/>
          <w:sz w:val="24"/>
          <w:szCs w:val="24"/>
          <w:lang w:val="uk-UA"/>
        </w:rPr>
        <w:t>.</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Рішення про направлення пацієнта до інших лікарів (інших закладів охорони здоров’я) та для здійснення діагностичних досліджень приймає лікуючий лікар пацієнта на підставі оцінки стану здоров'я пацієнта, наявності медичних показань для отримання відповідних послуг, відповідно до галузевих стандартів у сфері охорони здоров'я та з урахуванням порядків надання медичної допомоги відповідного виду.</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Направлення здійснюється для забезпечення отримання пацієнтом медичних послуг в амбулаторних або стаціонарних умовах, медичних послуг, що надаються виїзними бригадами, проведення лабораторних, інструментальних або функціональних досліджень.</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Направлення на отримання медичних послуг в амбулаторних умовах або від виїзної бригади може здійснюватися у випадку необхідності проведення оцінки стану здоров'я пацієнта, обстеження, здійснення лікування в амбулаторних умовах, вирішення питання щодо подальшого ведення пацієнта, отримання професійної думки спеціаліста, у тому числі за допомогою засобів телемедицини.</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Направлення на отримання медичних послуг в стаціонарних умовах (далі - госпіталізація) здійснюється за наявності таких підстав:</w:t>
      </w:r>
    </w:p>
    <w:p>
      <w:pPr>
        <w:pStyle w:val="ListParagraph"/>
        <w:widowControl/>
        <w:numPr>
          <w:ilvl w:val="2"/>
          <w:numId w:val="1"/>
        </w:numPr>
        <w:tabs>
          <w:tab w:val="clear" w:pos="708"/>
          <w:tab w:val="left" w:pos="1133" w:leader="none"/>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гостре захворювання та/або стан, травма, опіки, відмороження, отруєння, загострення хронічного захворювання, що потребує оперативного лікування або цілодобового інтенсивного лікування чи спостереження</w:t>
      </w:r>
    </w:p>
    <w:p>
      <w:pPr>
        <w:pStyle w:val="ListParagraph"/>
        <w:widowControl/>
        <w:numPr>
          <w:ilvl w:val="2"/>
          <w:numId w:val="1"/>
        </w:numPr>
        <w:tabs>
          <w:tab w:val="clear" w:pos="708"/>
          <w:tab w:val="left" w:pos="1133" w:leader="none"/>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ускладнений перебіг вагітності та пологи;</w:t>
      </w:r>
    </w:p>
    <w:p>
      <w:pPr>
        <w:pStyle w:val="ListParagraph"/>
        <w:widowControl/>
        <w:numPr>
          <w:ilvl w:val="2"/>
          <w:numId w:val="1"/>
        </w:numPr>
        <w:tabs>
          <w:tab w:val="clear" w:pos="708"/>
          <w:tab w:val="left" w:pos="1133" w:leader="none"/>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потреба в стаціонарній паліативній допомозі;</w:t>
      </w:r>
    </w:p>
    <w:p>
      <w:pPr>
        <w:pStyle w:val="ListParagraph"/>
        <w:widowControl/>
        <w:numPr>
          <w:ilvl w:val="2"/>
          <w:numId w:val="1"/>
        </w:numPr>
        <w:tabs>
          <w:tab w:val="clear" w:pos="708"/>
          <w:tab w:val="left" w:pos="1133" w:leader="none"/>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проведення протирецидивного курсу лікування чи медичної реабілітації, у разі неможливості надання відповідних послуг в амбулаторних умовах;</w:t>
      </w:r>
    </w:p>
    <w:p>
      <w:pPr>
        <w:pStyle w:val="ListParagraph"/>
        <w:widowControl/>
        <w:numPr>
          <w:ilvl w:val="2"/>
          <w:numId w:val="1"/>
        </w:numPr>
        <w:tabs>
          <w:tab w:val="clear" w:pos="708"/>
          <w:tab w:val="left" w:pos="1133" w:leader="none"/>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необхідність у застосуванні високоспеціалізованих, високотехнологічних методів діагностики та лікування, що не можуть проводитись в амбулаторних умовах;</w:t>
      </w:r>
    </w:p>
    <w:p>
      <w:pPr>
        <w:pStyle w:val="ListParagraph"/>
        <w:widowControl/>
        <w:numPr>
          <w:ilvl w:val="2"/>
          <w:numId w:val="1"/>
        </w:numPr>
        <w:tabs>
          <w:tab w:val="clear" w:pos="708"/>
          <w:tab w:val="left" w:pos="1133" w:leader="none"/>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переведення пацієнта, якого госпіталізовано, до іншого закладу охорони здоров’я</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Направлення на здійснення лабораторних, інструментальних або функціональних досліджень може здійснюватися з метою прийняття клінічних рішень в процесі надання медичних послуг пацієнту, з урахуванням його інтересів, за умови, що обрані дослідження:</w:t>
      </w:r>
    </w:p>
    <w:p>
      <w:pPr>
        <w:pStyle w:val="ListParagraph"/>
        <w:widowControl/>
        <w:numPr>
          <w:ilvl w:val="2"/>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відповідають клінічній ситуації пацієнта з урахуванням специфічності і чутливості обраних лабораторних тестів;</w:t>
      </w:r>
    </w:p>
    <w:p>
      <w:pPr>
        <w:pStyle w:val="ListParagraph"/>
        <w:widowControl/>
        <w:numPr>
          <w:ilvl w:val="2"/>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забезпечують точність показників досліджень або прогностичної інформації для прийняття клінічних рішень;</w:t>
      </w:r>
    </w:p>
    <w:p>
      <w:pPr>
        <w:pStyle w:val="ListParagraph"/>
        <w:widowControl/>
        <w:numPr>
          <w:ilvl w:val="2"/>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мають клінічну ефективність, забезпечують потенційний внесок в покращення орієнтованих на пацієнта клінічних результатів.</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Лікуючий лікар, який здійснює направлення зобов’язаний:</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роз’яснити та переконатися, що пацієнту зрозумілі мета направлення, підстави, ризики та очікувані результати від отримання пацієнтом послуг за направленням;</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повідомити пацієнту про строк дії направлення, який встановлюється з урахуванням стану пацієнта та галузевих стандартів у сфері охорони здоров’я і не має становити більше одного календарного року;</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повідомити пацієнту про можливості отримання медичних послуг за направленням у суб’єктів господарювання, які надають такі послуги, в тому числі за програмою державних гарантій медичного обслуговування населення;</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надати можливість пацієнту ставити будь-які питання щодо направлення та надати відповіді на такі питання.</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випадку відмови пацієнта від отримання направлення, роз’яснити пацієнту наслідки такої відмови, і якщо після такого роз’яснення пацієнт відмовляється від отримання направлення, лікар має право взяти від нього письмове підтвердження, а при неможливості його одержання - засвідчити відмову відповідним актом у присутності свідків.</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Якщо медичні послуги надаються пацієнту у межах договору про медичне обслуговування населення за програмою медичних гарантій, укладеного з Національною службою здоров’я України, лікуючий лікар повинен внести запис про направлення пацієнта до системи із застосуванням кваліфікованого електронного підпису відповідно до вимог законодавства. Такий запис вноситься навіть у випадку відмови пацієнта від отримання направлення.</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Якщо отримання медичних послуг за направленням не передбачено програмою медичних гарантій, направлення може бути складено у паперовій формі.</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Після внесення запису про направлення до системи, пацієнту повідомляється номер запису про направлення в системі, засобами телекомунікацій. На вимогу пацієнта йому надається копія запису про направлення або номер запису про направлення в системі у паперовій або електронній формі.</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Лікуючий лікар має право відкликати створене в системі направлення до моменту звернення пацієнта за отриманням медичного обслуговування, з зазначенням підстави відкликання, у випадках:</w:t>
      </w:r>
    </w:p>
    <w:p>
      <w:pPr>
        <w:pStyle w:val="ListParagraph"/>
        <w:numPr>
          <w:ilvl w:val="2"/>
          <w:numId w:val="1"/>
        </w:numPr>
        <w:spacing w:lineRule="auto" w:line="240"/>
        <w:jc w:val="both"/>
        <w:rPr>
          <w:rFonts w:ascii="Times New Roman" w:hAnsi="Times New Roman"/>
        </w:rPr>
      </w:pPr>
      <w:r>
        <w:rPr>
          <w:rFonts w:cs="Times New Roman" w:ascii="Times New Roman" w:hAnsi="Times New Roman"/>
          <w:sz w:val="24"/>
          <w:szCs w:val="24"/>
          <w:lang w:val="uk-UA"/>
        </w:rPr>
        <w:t>зміни стану здоров’я пацієнта;</w:t>
      </w:r>
    </w:p>
    <w:p>
      <w:pPr>
        <w:pStyle w:val="ListParagraph"/>
        <w:numPr>
          <w:ilvl w:val="2"/>
          <w:numId w:val="1"/>
        </w:numPr>
        <w:spacing w:lineRule="auto" w:line="240"/>
        <w:jc w:val="both"/>
        <w:rPr>
          <w:rFonts w:ascii="Times New Roman" w:hAnsi="Times New Roman"/>
        </w:rPr>
      </w:pPr>
      <w:r>
        <w:rPr>
          <w:rFonts w:cs="Times New Roman" w:ascii="Times New Roman" w:hAnsi="Times New Roman"/>
          <w:sz w:val="24"/>
          <w:szCs w:val="24"/>
          <w:lang w:val="uk-UA"/>
        </w:rPr>
        <w:t>смерті пацієнта;</w:t>
      </w:r>
    </w:p>
    <w:p>
      <w:pPr>
        <w:pStyle w:val="ListParagraph"/>
        <w:numPr>
          <w:ilvl w:val="2"/>
          <w:numId w:val="1"/>
        </w:numPr>
        <w:spacing w:lineRule="auto" w:line="240"/>
        <w:jc w:val="both"/>
        <w:rPr>
          <w:rFonts w:ascii="Times New Roman" w:hAnsi="Times New Roman"/>
        </w:rPr>
      </w:pPr>
      <w:r>
        <w:rPr>
          <w:rFonts w:cs="Times New Roman" w:ascii="Times New Roman" w:hAnsi="Times New Roman"/>
          <w:sz w:val="24"/>
          <w:szCs w:val="24"/>
          <w:lang w:val="uk-UA"/>
        </w:rPr>
        <w:t>внесення помилкової інформації до системи при здійсненні направлення.</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Після відкликання направлення лікуючий лікар має повідомити пацієнта про таке відкликання із застосуванням засобів телекомунікацій.</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Після відкликання направлення лікуючий лікар може створити новий запис про направлення з одночасним повідомленням пацієнта про таке відкликання попереднього направлення та створення нового запису про направлення із застосуванням засобів телекомунікацій.</w:t>
      </w:r>
    </w:p>
    <w:p>
      <w:pPr>
        <w:pStyle w:val="ListParagraph"/>
        <w:spacing w:lineRule="auto" w:line="240"/>
        <w:ind w:left="792" w:hanging="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jc w:val="center"/>
        <w:rPr>
          <w:rFonts w:ascii="Times New Roman" w:hAnsi="Times New Roman"/>
        </w:rPr>
      </w:pPr>
      <w:r>
        <w:rPr>
          <w:rFonts w:cs="Times New Roman" w:ascii="Times New Roman" w:hAnsi="Times New Roman"/>
          <w:b/>
          <w:sz w:val="24"/>
          <w:szCs w:val="24"/>
          <w:lang w:val="uk-UA"/>
        </w:rPr>
        <w:t>ОРГАНІЗАЦІЯ МЕДИЧНОГО ОБСЛУГОВУВАННЯ ЗА НАПРАВЛЕННЯМ</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При зверненні за отриманням медичних послуг пацієнт (його законний представник) зобов'язаний повідомити особі, яка здійснює реєстрацію звернень пацієнтів за отриманням послуг,  номер запису про направлення або надати запис про направлення в паперовій формі.</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Особа, яка здійснює реєстрацію звернень пацієнтів за отриманням послуг, повинна:</w:t>
      </w:r>
    </w:p>
    <w:p>
      <w:pPr>
        <w:pStyle w:val="ListParagraph"/>
        <w:widowControl/>
        <w:numPr>
          <w:ilvl w:val="2"/>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перевірити статус запису про направлення в системі;</w:t>
      </w:r>
    </w:p>
    <w:p>
      <w:pPr>
        <w:pStyle w:val="ListParagraph"/>
        <w:widowControl/>
        <w:numPr>
          <w:ilvl w:val="2"/>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повідомити пацієнту про наявність або відсутність можливості отримати медичне обслуговування за направленням за програмою медичних гарантій;</w:t>
      </w:r>
    </w:p>
    <w:p>
      <w:pPr>
        <w:pStyle w:val="ListParagraph"/>
        <w:widowControl/>
        <w:numPr>
          <w:ilvl w:val="2"/>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узгодити з пацієнтом вибір лікаря, іншого медичного працівника, який буде надавати послуги за направленням (за можливості такого вибору);</w:t>
      </w:r>
    </w:p>
    <w:p>
      <w:pPr>
        <w:pStyle w:val="ListParagraph"/>
        <w:widowControl/>
        <w:numPr>
          <w:ilvl w:val="2"/>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узгодити з пацієнтом дату та час, коли пацієнт може отримати послуги за направленням, крім випадків, передбачених пунктом 6.5 Правил.</w:t>
      </w:r>
    </w:p>
    <w:p>
      <w:pPr>
        <w:pStyle w:val="ListParagraph"/>
        <w:widowControl/>
        <w:numPr>
          <w:ilvl w:val="1"/>
          <w:numId w:val="1"/>
        </w:numPr>
        <w:tabs>
          <w:tab w:val="clear" w:pos="708"/>
          <w:tab w:val="left" w:pos="1133" w:leader="none"/>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випадку, коли неможливо визначити дату надання медичних послуг за направленням або якщо медична послуга може бути надана не раніше, ніж через один місяць з дати звернення пацієнта,  особа яка здійснює реєстрацію звернень пацієнтів за отриманням послуг повинна повідомити пацієнту орієнтовний строк очікування. Такі повідомлення можуть бути здійсненні шляхом запровадження електронної черги, доступ до якої пацієнт може здійснювати самостійно за допомогою засобів телекомунікації.</w:t>
      </w:r>
    </w:p>
    <w:p>
      <w:pPr>
        <w:pStyle w:val="ListParagraph"/>
        <w:widowControl/>
        <w:numPr>
          <w:ilvl w:val="1"/>
          <w:numId w:val="1"/>
        </w:numPr>
        <w:tabs>
          <w:tab w:val="clear" w:pos="708"/>
          <w:tab w:val="left" w:pos="1133" w:leader="none"/>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Медичне обслуговування за направленням здійснюється відповідно до медичних показань та стану здоров’я пацієнта на момент надання відповідної медичної послуги.</w:t>
      </w:r>
    </w:p>
    <w:p>
      <w:pPr>
        <w:pStyle w:val="ListParagraph"/>
        <w:widowControl/>
        <w:numPr>
          <w:ilvl w:val="1"/>
          <w:numId w:val="1"/>
        </w:numPr>
        <w:tabs>
          <w:tab w:val="clear" w:pos="708"/>
          <w:tab w:val="left" w:pos="1133" w:leader="none"/>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Під час першої взаємодії з пацієнтом за направленням, ЛІКАРНЯ відкриває новий епізод медичної допомоги, про що вноситься запис до системи.</w:t>
      </w:r>
    </w:p>
    <w:p>
      <w:pPr>
        <w:pStyle w:val="ListParagraph"/>
        <w:widowControl/>
        <w:numPr>
          <w:ilvl w:val="1"/>
          <w:numId w:val="1"/>
        </w:numPr>
        <w:tabs>
          <w:tab w:val="clear" w:pos="708"/>
          <w:tab w:val="left" w:pos="1133" w:leader="none"/>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На підставі одного направлення може бути відкрито лише один епізод медичної допомоги. Після початку прийому пацієнта за направленням в одному закладі охорони здоров’я, звернення до іншого, за цим самим направленням, не допускається.</w:t>
      </w:r>
    </w:p>
    <w:p>
      <w:pPr>
        <w:pStyle w:val="ListParagraph"/>
        <w:widowControl/>
        <w:numPr>
          <w:ilvl w:val="1"/>
          <w:numId w:val="1"/>
        </w:numPr>
        <w:tabs>
          <w:tab w:val="clear" w:pos="708"/>
          <w:tab w:val="left" w:pos="1133" w:leader="none"/>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Під час відкриття епізоду медичної допомоги за направленням ЛІКАРНЯ повинна запитати в пацієнта інформацію про одночасне одержання медичної допомоги у кількох медичних працівників або закладів охорони здоров’я, та забезпечити взаємодію з такими медичними працівниками в інтересах пацієнта, зокрема через проведення консультацій, направлення запитів, організацію консиліумів.</w:t>
      </w:r>
    </w:p>
    <w:p>
      <w:pPr>
        <w:pStyle w:val="ListParagraph"/>
        <w:widowControl/>
        <w:numPr>
          <w:ilvl w:val="1"/>
          <w:numId w:val="1"/>
        </w:numPr>
        <w:tabs>
          <w:tab w:val="clear" w:pos="708"/>
          <w:tab w:val="left" w:pos="1133" w:leader="none"/>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ЛІКАРНЯ має право запитувати інформацію, що потрібна для надання медичної допомоги, у пацієнта, а також лікаря, який видав направлення, інших медичних працівників, які надавали або надають медичну допомогу пацієнту.</w:t>
      </w:r>
    </w:p>
    <w:p>
      <w:pPr>
        <w:pStyle w:val="ListParagraph"/>
        <w:widowControl/>
        <w:numPr>
          <w:ilvl w:val="1"/>
          <w:numId w:val="1"/>
        </w:numPr>
        <w:tabs>
          <w:tab w:val="clear" w:pos="708"/>
          <w:tab w:val="left" w:pos="1133" w:leader="none"/>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разі необхідності призначення повторних візитів пацієнта для продовження надання медичних послуг за направленням в того ж лікаря, лікар, що надавав послуги за направленням, створює нове направлення.</w:t>
      </w:r>
    </w:p>
    <w:p>
      <w:pPr>
        <w:pStyle w:val="ListParagraph"/>
        <w:widowControl/>
        <w:numPr>
          <w:ilvl w:val="1"/>
          <w:numId w:val="1"/>
        </w:numPr>
        <w:tabs>
          <w:tab w:val="clear" w:pos="708"/>
          <w:tab w:val="left" w:pos="1133" w:leader="none"/>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При завершенні надання медичних послуг за направленням лікар закриває епізод медичної допомоги, про що вноситься інформація в систему.</w:t>
      </w:r>
    </w:p>
    <w:p>
      <w:pPr>
        <w:pStyle w:val="ListParagraph"/>
        <w:widowControl/>
        <w:numPr>
          <w:ilvl w:val="1"/>
          <w:numId w:val="1"/>
        </w:numPr>
        <w:tabs>
          <w:tab w:val="clear" w:pos="708"/>
          <w:tab w:val="left" w:pos="1133" w:leader="none"/>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Медичні послуги за направленням не надаються у випадках, якщо:</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ЛІКАРНЯ не має права або можливості надавати відповідні послуги згідно із законодавством та ліцензією з медичної практики;</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 уже отримав послуги за цим направленням;</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направлення є відкликаним ініціатором направлення;</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закінчився строк дії направлення;</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під час попереднього огляду пацієнта лікар встановив, що пацієнт не потребує надання медичних послуг за направленням або має медичні протипоказання до таких послуг;</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 не надає згоду на медичне втручання для отримання послуги за направленням, крім випадків, коли відповідно до закону така згода не вимагається;</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 не виконує медичних приписів або цих Правил, за умови, що це не загрожуватиме життю хворого і здоров'ю населення.</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разі встановлення ЛІКАРНЕЮ наявності підстав, передбачених підпунктами 6.11.1 – 6.11.4 цих Правил, ЛІКАРНЯ направлення повідомляє про неможливість надання послуг за направленням пацієнта</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разі встановлення ЛІКАРНЕЮ наявності підстав, передбачених підпунктами 6.11.5 – 6.11.7 цих Правил, ЛІКАРНЯ направлення повідомляє про неможливість надання послуг за направленням як пацієнта так і ініціатора направлення, і вносить до системи відповідний запис із зазначенням причини ненадання пацієнту послуги за направленням.</w:t>
      </w:r>
    </w:p>
    <w:p>
      <w:pPr>
        <w:pStyle w:val="ListParagraph"/>
        <w:spacing w:lineRule="auto" w:line="240"/>
        <w:ind w:left="792" w:hanging="0"/>
        <w:jc w:val="both"/>
        <w:rPr>
          <w:rFonts w:ascii="Times New Roman" w:hAnsi="Times New Roman" w:cs="Times New Roman"/>
          <w:color w:val="000000"/>
          <w:sz w:val="24"/>
          <w:szCs w:val="24"/>
          <w:lang w:val="uk-UA"/>
        </w:rPr>
      </w:pPr>
      <w:r>
        <w:rPr>
          <w:rFonts w:cs="Times New Roman" w:ascii="Times New Roman" w:hAnsi="Times New Roman"/>
          <w:color w:val="000000"/>
          <w:sz w:val="24"/>
          <w:szCs w:val="24"/>
          <w:lang w:val="uk-UA"/>
        </w:rPr>
      </w:r>
    </w:p>
    <w:p>
      <w:pPr>
        <w:pStyle w:val="ListParagraph"/>
        <w:numPr>
          <w:ilvl w:val="0"/>
          <w:numId w:val="1"/>
        </w:numPr>
        <w:spacing w:lineRule="auto" w:line="240"/>
        <w:jc w:val="center"/>
        <w:rPr>
          <w:rFonts w:ascii="Times New Roman" w:hAnsi="Times New Roman"/>
        </w:rPr>
      </w:pPr>
      <w:r>
        <w:rPr>
          <w:rFonts w:cs="Times New Roman" w:ascii="Times New Roman" w:hAnsi="Times New Roman"/>
          <w:b/>
          <w:sz w:val="24"/>
          <w:szCs w:val="24"/>
          <w:lang w:val="uk-UA"/>
        </w:rPr>
        <w:t>МЕДИЧНА ДОКУМЕНТАЦІЯ</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На кожного пацієнта у ЛІКАРНІ заводиться медична документація в паперовому та/або електронному вигляді. У медичній документації фіксуються результат обстеження, призначення і рекомендації лікаря, найменування та обсяг виконаних медичних втручань та інша інформація про стан здоров'я Пацієнта і наданої йому медичної допомоги.</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Медична документація пацієнта є власністю ЛІКАРНІ і зберігається в її архіві, включаючи комп’ютерні сервери, протягом строків, визначених законодавством.</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Пацієнту та його представникам забороняється самовільно виносити медичну документацію, яка є власністю ЛІКАРНІ з приміщення ЛІКАРНІ, вносити до неї правки, знищувати її.</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Інформація, що міститься в медичній документації, становить лікарську таємницю і може надаватися третім особам без згоди пацієнта тільки з підстав, передбачених законодавством України.</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 та його представники мають право безпосередньо знайомитися тільки зі своєю медичною документацією, або з медичною документацією особи, щодо якої він є законним представником. Для цього, пацієнт або його представник складає письмову заяву. ЛІКАРНЯ перевіряє правові підстави для ознайомлення заявника з медичною документацією про яку вказано у заяві, та у випадку наявності законних підстав, узгоджує дату та час ознайомлення. З метою запобігання втрати документів, ознайомлення з медичною документацією здійснюється у присутності уповноваженого працівника ЛІКАРНІ в спеціальному приміщенні.</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За письмовою вимогою пацієнта йому надаються виписки, роздруківки, або копії його медичних документів.</w:t>
      </w:r>
    </w:p>
    <w:p>
      <w:pPr>
        <w:pStyle w:val="ListParagraph"/>
        <w:spacing w:lineRule="auto" w:line="240"/>
        <w:ind w:left="792" w:hanging="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jc w:val="center"/>
        <w:rPr>
          <w:rFonts w:ascii="Times New Roman" w:hAnsi="Times New Roman"/>
        </w:rPr>
      </w:pPr>
      <w:r>
        <w:rPr>
          <w:rFonts w:cs="Times New Roman" w:ascii="Times New Roman" w:hAnsi="Times New Roman"/>
          <w:b/>
          <w:sz w:val="24"/>
          <w:szCs w:val="24"/>
          <w:lang w:val="uk-UA"/>
        </w:rPr>
        <w:t>ПРАВА І ОБОВ'ЯЗКИ ПАЦІЄНТА ТА ОСІБ, ЯКІ ЇХ СУПРОВОДЖУЮТЬ</w:t>
      </w:r>
    </w:p>
    <w:p>
      <w:pPr>
        <w:pStyle w:val="ListParagraph"/>
        <w:widowControl/>
        <w:numPr>
          <w:ilvl w:val="1"/>
          <w:numId w:val="1"/>
        </w:numPr>
        <w:tabs>
          <w:tab w:val="clear" w:pos="708"/>
          <w:tab w:val="left" w:pos="1017" w:leader="none"/>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 має право на:</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отримання медичної допомоги;</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вибір лікаря і організації охорони здоров’я;</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участь у виборі методів надання медичної допомоги, з тих, що рекомендовані лікарем;</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перебування в закладі охорони здоров’я в умовах, які відповідають санітарно-епідеміологічним вимогам і дозволяють реалізувати право на безпеку і захист особистої гідності;</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шанобливе і гуманне ставлення з боку працівників охорони здоров’я;</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отримання у доступній формі інформації про стан власного здоров’я, застосовувані методи надання медичної допомоги, а також про кваліфікацію лікаря, інших медичних працівників, які безпосередньо беруть участь в наданні йому медичної допомоги;</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вибір осіб, яким може бути повідомлена інформація про стан його здоров’я;</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відмову від надання медичної допомоги. Відмова пацієнта від надання медичної допомоги оформляється записом в медичних документах, підписується пацієнтом або його законним представником, і лікарем. Якщо пацієнт відмовляється від підписання відмови, про це складається акт;</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полегшення болю, пов’язаного з захворюванням і (або) медичним втручанням, всіма методами надання медичної допомоги з урахуванням можливостей установи;</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інші права, передбачені законом.</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Пацієнти та відвідувачі зобов’язані:</w:t>
      </w:r>
    </w:p>
    <w:p>
      <w:pPr>
        <w:pStyle w:val="ListParagraph"/>
        <w:widowControl/>
        <w:numPr>
          <w:ilvl w:val="2"/>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дотримуватися режиму роботи ЛІКАРНІ;</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дотримуватися Правил внутрішнього розпорядку ЛІКАРНІ і загальноприйнятих правил поведінки в медичних закладах;</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дотримуватися вимог пожежної безпеки;</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дотримуватися санітарно-протиепідемічного режиму;</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повідомити лікарю достовірну інформацію про стан свого здоров’я та своєї дитини, в тому числі про протипоказання до застосування лікарських засобів, раніше перенесені і спадкові захворювання;</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виконувати приписи лікаря, співпрацювати з лікарем на всіх етапах надання медичної допомоги; Лікар не несе відповідальності за здоров’я пацієнта, якщо останній не дотримується його рекомендацій та приписів.</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шанобливо ставитися до працівників ЛІКАРНІ, а так само до інших пацієнтів та відвідувачів;</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випадку згоди на медичне втручання, ознайомитися і підписати Інформовану добровільну згоду на таке втручання;</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оформляти в установленому порядку відмову від запропонованого лікування, а також у випадках припинення розпочатого лікування за бажанням пацієнта;</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проявляти доброзичливе і ввічливе ставлення до інших пацієнтів;</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у випадках необхідності скасування попереднього запису на прийом, заздалегідь повідомляти ЛІКАРНЮ не пізніше ніж за 2 (дві) години до прийому.</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дбайливо ставитися до майна ЛІКАРНІ;</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при виявленні джерел пожежі, інших джерел небезпеки чи об’єктів, що загрожують суспільній безпеці, пацієнт повинен негайно повідомити про це персоналу ЛІКАРНІ;</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дотримуватися правил заборони куріння в громадських місцях;</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дотримуватися правил заборони розпивання спиртних напоїв і перебування в стані алкогольного, наркотичного та токсичного сп’яніння;</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забезпечувати належну поведінку своєї дитини та нести відповідальність за будь-які травми які дитина може отримати в наслідок недбалості батьків чи інших осіб, які привели дитину до ЛІКАРНІ;</w:t>
      </w:r>
    </w:p>
    <w:p>
      <w:pPr>
        <w:pStyle w:val="ListParagraph"/>
        <w:widowControl/>
        <w:numPr>
          <w:ilvl w:val="2"/>
          <w:numId w:val="1"/>
        </w:numPr>
        <w:tabs>
          <w:tab w:val="clear" w:pos="708"/>
          <w:tab w:val="left" w:pos="1250"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виконувати інші обов'язки, встановлені законодавством цими Правилами та договором.</w:t>
      </w:r>
    </w:p>
    <w:p>
      <w:pPr>
        <w:pStyle w:val="ListParagraph"/>
        <w:widowControl/>
        <w:numPr>
          <w:ilvl w:val="1"/>
          <w:numId w:val="1"/>
        </w:numPr>
        <w:tabs>
          <w:tab w:val="clear" w:pos="708"/>
          <w:tab w:val="left" w:pos="1017"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Пацієнтам та особам, які їх супроводжують забороняється:</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заходити в кабінет лікаря чи палати у верхньому одязі;</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приходити на прийом чи перебувати у палатах в стані алкогольного сп'яніння, або під дією наркотичних або токсичних речовин;</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не інформуючи лікуючого лікаря, одночасно лікуватися в декількох закладах охорони здоров’я чи лікарів;</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палити, розпивати алкогольні напої, вживати наркотичні або токсичні засоби на території ЛІКАРНІ;</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здійснювати фото-, відео-, аудіо- фіксацію дій працівників та / або відвідувачів ЛІКАРНЯ;</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грубіянити та / або погрожувати працівникам та / або відвідувачам ЛІКАРНЯ, або в інший спосіб порушувати громадський порядок.</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приносити до ЛІКАРНІ холодну або вогнепальну зброю чи вибухівку, демонструвати її персоналу або іншим особам.</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виносити за межі будь-яке майно ЛІКАРНІ, у тому числі розхідні матеріали, медикаменти, та інше.</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 xml:space="preserve"> </w:t>
      </w:r>
      <w:r>
        <w:rPr>
          <w:rFonts w:cs="Times New Roman" w:ascii="Times New Roman" w:hAnsi="Times New Roman"/>
          <w:color w:val="000000"/>
          <w:sz w:val="24"/>
          <w:szCs w:val="24"/>
          <w:lang w:val="uk-UA"/>
        </w:rPr>
        <w:t>займатись у приміщеннях</w:t>
      </w:r>
      <w:r>
        <w:rPr>
          <w:rFonts w:cs="Times New Roman" w:ascii="Times New Roman" w:hAnsi="Times New Roman"/>
          <w:sz w:val="24"/>
          <w:szCs w:val="24"/>
          <w:lang w:val="uk-UA"/>
        </w:rPr>
        <w:t xml:space="preserve"> ЛІКАРНІ</w:t>
      </w:r>
      <w:r>
        <w:rPr>
          <w:rFonts w:cs="Times New Roman" w:ascii="Times New Roman" w:hAnsi="Times New Roman"/>
          <w:color w:val="000000"/>
          <w:sz w:val="24"/>
          <w:szCs w:val="24"/>
          <w:lang w:val="uk-UA"/>
        </w:rPr>
        <w:t xml:space="preserve"> будь-якими видами торгівлі або обміну;</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 xml:space="preserve"> </w:t>
      </w:r>
      <w:r>
        <w:rPr>
          <w:rFonts w:cs="Times New Roman" w:ascii="Times New Roman" w:hAnsi="Times New Roman"/>
          <w:color w:val="000000"/>
          <w:sz w:val="24"/>
          <w:szCs w:val="24"/>
          <w:lang w:val="uk-UA"/>
        </w:rPr>
        <w:t xml:space="preserve">залишати свою дитину без догляду; </w:t>
      </w:r>
    </w:p>
    <w:p>
      <w:pPr>
        <w:pStyle w:val="ListParagraph"/>
        <w:widowControl/>
        <w:numPr>
          <w:ilvl w:val="2"/>
          <w:numId w:val="1"/>
        </w:numPr>
        <w:tabs>
          <w:tab w:val="clear" w:pos="708"/>
          <w:tab w:val="left" w:pos="1192"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 xml:space="preserve"> </w:t>
      </w:r>
      <w:r>
        <w:rPr>
          <w:rFonts w:cs="Times New Roman" w:ascii="Times New Roman" w:hAnsi="Times New Roman"/>
          <w:color w:val="000000"/>
          <w:sz w:val="24"/>
          <w:szCs w:val="24"/>
          <w:lang w:val="uk-UA"/>
        </w:rPr>
        <w:t xml:space="preserve">приводити або приносити до </w:t>
      </w:r>
      <w:r>
        <w:rPr>
          <w:rFonts w:cs="Times New Roman" w:ascii="Times New Roman" w:hAnsi="Times New Roman"/>
          <w:sz w:val="24"/>
          <w:szCs w:val="24"/>
          <w:lang w:val="uk-UA"/>
        </w:rPr>
        <w:t>ЛІКАРНІ</w:t>
      </w:r>
      <w:r>
        <w:rPr>
          <w:rFonts w:cs="Times New Roman" w:ascii="Times New Roman" w:hAnsi="Times New Roman"/>
          <w:color w:val="000000"/>
          <w:sz w:val="24"/>
          <w:szCs w:val="24"/>
          <w:lang w:val="uk-UA"/>
        </w:rPr>
        <w:t xml:space="preserve"> тварин та птахів.</w:t>
      </w:r>
    </w:p>
    <w:p>
      <w:pPr>
        <w:pStyle w:val="ListParagraph"/>
        <w:widowControl/>
        <w:numPr>
          <w:ilvl w:val="1"/>
          <w:numId w:val="1"/>
        </w:numPr>
        <w:tabs>
          <w:tab w:val="clear" w:pos="708"/>
          <w:tab w:val="left" w:pos="1017"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color w:val="000000"/>
          <w:sz w:val="24"/>
          <w:szCs w:val="24"/>
          <w:lang w:val="uk-UA"/>
        </w:rPr>
        <w:t>УВАГА! ЛІКАРНЯ не несе відповідальності за збереження особистих речей чи коштовностей пацієнтів та відвідувачів, за винятком випадків коли такі речі та коштовності були передані ЛІКАРНІ на зберігання.</w:t>
      </w:r>
      <w:bookmarkStart w:id="5" w:name="_GoBack"/>
      <w:bookmarkEnd w:id="5"/>
    </w:p>
    <w:p>
      <w:pPr>
        <w:pStyle w:val="ListParagraph"/>
        <w:spacing w:lineRule="auto" w:line="240"/>
        <w:ind w:left="1224" w:hanging="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jc w:val="center"/>
        <w:rPr>
          <w:rFonts w:ascii="Times New Roman" w:hAnsi="Times New Roman"/>
        </w:rPr>
      </w:pPr>
      <w:r>
        <w:rPr>
          <w:rFonts w:cs="Times New Roman" w:ascii="Times New Roman" w:hAnsi="Times New Roman"/>
          <w:b/>
          <w:sz w:val="24"/>
          <w:szCs w:val="24"/>
          <w:lang w:val="uk-UA"/>
        </w:rPr>
        <w:t>Порядок вирішення спорів</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Всі суперечки, що виникають між Сторонами вирішуються у порядку визначеному Публічним договором надання медичних послуг.</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ЛІКАРНЯ не несе відповідальності за збереження речей пацієнта чи його законних представників та інших відвідувачів.</w:t>
      </w:r>
    </w:p>
    <w:p>
      <w:pPr>
        <w:pStyle w:val="ListParagraph"/>
        <w:widowControl/>
        <w:numPr>
          <w:ilvl w:val="1"/>
          <w:numId w:val="1"/>
        </w:numPr>
        <w:tabs>
          <w:tab w:val="clear" w:pos="708"/>
          <w:tab w:val="left" w:pos="1075"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 xml:space="preserve">Батьки чи інші супроводжуючі особи несуть повну відповідальність за дотримання дитиною цих Правил. </w:t>
      </w:r>
    </w:p>
    <w:p>
      <w:pPr>
        <w:pStyle w:val="ListParagraph"/>
        <w:spacing w:lineRule="auto" w:line="240"/>
        <w:ind w:left="792" w:hanging="0"/>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jc w:val="center"/>
        <w:rPr>
          <w:rFonts w:ascii="Times New Roman" w:hAnsi="Times New Roman"/>
        </w:rPr>
      </w:pPr>
      <w:r>
        <w:rPr>
          <w:rFonts w:cs="Times New Roman" w:ascii="Times New Roman" w:hAnsi="Times New Roman"/>
          <w:b/>
          <w:sz w:val="24"/>
          <w:szCs w:val="24"/>
          <w:lang w:val="uk-UA"/>
        </w:rPr>
        <w:t>Відповідальність за недотримання Правил</w:t>
      </w:r>
    </w:p>
    <w:p>
      <w:pPr>
        <w:pStyle w:val="ListParagraph"/>
        <w:widowControl/>
        <w:numPr>
          <w:ilvl w:val="1"/>
          <w:numId w:val="1"/>
        </w:numPr>
        <w:tabs>
          <w:tab w:val="clear" w:pos="708"/>
          <w:tab w:val="left" w:pos="1133" w:leader="none"/>
        </w:tabs>
        <w:bidi w:val="0"/>
        <w:spacing w:lineRule="auto" w:line="240" w:before="0" w:after="160"/>
        <w:ind w:left="0" w:right="0" w:firstLine="567"/>
        <w:contextualSpacing/>
        <w:jc w:val="both"/>
        <w:rPr>
          <w:rFonts w:ascii="Times New Roman" w:hAnsi="Times New Roman"/>
        </w:rPr>
      </w:pPr>
      <w:r>
        <w:rPr>
          <w:rFonts w:cs="Times New Roman" w:ascii="Times New Roman" w:hAnsi="Times New Roman"/>
          <w:sz w:val="24"/>
          <w:szCs w:val="24"/>
          <w:lang w:val="uk-UA"/>
        </w:rPr>
        <w:t>ЛІКАРНЯ, якщо інше не передбачено законом, має право відмовити пацієнтові в наданні медичної допомоги, в разі недотримання пацієнтом або особами, які його супроводжують, цих Правил.</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roman"/>
    <w:pitch w:val="variable"/>
  </w:font>
  <w:font w:name="Times New Roman">
    <w:charset w:val="cc"/>
    <w:family w:val="roman"/>
    <w:pitch w:val="variable"/>
  </w:font>
  <w:font w:name="Antiqu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rPr>
        <w:b/>
        <w:bCs/>
      </w:rPr>
    </w:lvl>
    <w:lvl w:ilvl="2">
      <w:start w:val="1"/>
      <w:numFmt w:val="decimal"/>
      <w:lvlText w:val="%1.%2.%3."/>
      <w:lvlJc w:val="left"/>
      <w:pPr>
        <w:tabs>
          <w:tab w:val="num" w:pos="0"/>
        </w:tabs>
        <w:ind w:left="1224" w:hanging="504"/>
      </w:pPr>
      <w:rPr>
        <w:b/>
        <w:bC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Textbody"/>
    <w:link w:val="11"/>
    <w:qFormat/>
    <w:rsid w:val="00f60a2a"/>
    <w:pPr>
      <w:keepNext w:val="true"/>
      <w:suppressAutoHyphens w:val="true"/>
      <w:spacing w:lineRule="auto" w:line="240" w:before="240" w:after="120"/>
      <w:textAlignment w:val="baseline"/>
      <w:outlineLvl w:val="0"/>
    </w:pPr>
    <w:rPr>
      <w:rFonts w:ascii="Liberation Serif" w:hAnsi="Liberation Serif" w:eastAsia="NSimSun" w:cs="Arial"/>
      <w:b/>
      <w:bCs/>
      <w:kern w:val="2"/>
      <w:sz w:val="48"/>
      <w:szCs w:val="48"/>
      <w:lang w:val="en-US" w:eastAsia="zh-CN" w:bidi="hi-IN"/>
    </w:rPr>
  </w:style>
  <w:style w:type="paragraph" w:styleId="2">
    <w:name w:val="Heading 2"/>
    <w:basedOn w:val="Normal"/>
    <w:next w:val="Normal"/>
    <w:link w:val="21"/>
    <w:uiPriority w:val="9"/>
    <w:semiHidden/>
    <w:unhideWhenUsed/>
    <w:qFormat/>
    <w:rsid w:val="002d0536"/>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sid w:val="00f60a2a"/>
    <w:rPr>
      <w:rFonts w:ascii="Liberation Serif" w:hAnsi="Liberation Serif" w:eastAsia="NSimSun" w:cs="Arial"/>
      <w:b/>
      <w:bCs/>
      <w:kern w:val="2"/>
      <w:sz w:val="48"/>
      <w:szCs w:val="48"/>
      <w:lang w:val="en-US" w:eastAsia="zh-CN" w:bidi="hi-IN"/>
    </w:rPr>
  </w:style>
  <w:style w:type="character" w:styleId="Style12" w:customStyle="1">
    <w:name w:val="Выделение жирным"/>
    <w:qFormat/>
    <w:rsid w:val="00f60a2a"/>
    <w:rPr>
      <w:b/>
      <w:bCs/>
    </w:rPr>
  </w:style>
  <w:style w:type="character" w:styleId="21" w:customStyle="1">
    <w:name w:val="Заголовок 2 Знак"/>
    <w:basedOn w:val="DefaultParagraphFont"/>
    <w:uiPriority w:val="9"/>
    <w:semiHidden/>
    <w:qFormat/>
    <w:rsid w:val="002d0536"/>
    <w:rPr>
      <w:rFonts w:ascii="Calibri Light" w:hAnsi="Calibri Light" w:eastAsia="" w:cs="" w:asciiTheme="majorHAnsi" w:cstheme="majorBidi" w:eastAsiaTheme="majorEastAsia" w:hAnsiTheme="majorHAnsi"/>
      <w:color w:val="2E74B5" w:themeColor="accent1" w:themeShade="bf"/>
      <w:sz w:val="26"/>
      <w:szCs w:val="26"/>
    </w:rPr>
  </w:style>
  <w:style w:type="character" w:styleId="Style13" w:customStyle="1">
    <w:name w:val="Интернет-ссылка"/>
    <w:qFormat/>
    <w:rPr>
      <w:color w:val="000080"/>
      <w:u w:val="single"/>
    </w:rPr>
  </w:style>
  <w:style w:type="character" w:styleId="Annotationreference">
    <w:name w:val="annotation reference"/>
    <w:uiPriority w:val="99"/>
    <w:semiHidden/>
    <w:qFormat/>
    <w:rsid w:val="00263e37"/>
    <w:rPr>
      <w:rFonts w:cs="Times New Roman"/>
      <w:sz w:val="16"/>
      <w:szCs w:val="16"/>
    </w:rPr>
  </w:style>
  <w:style w:type="character" w:styleId="Rvts23" w:customStyle="1">
    <w:name w:val="rvts23"/>
    <w:basedOn w:val="DefaultParagraphFont"/>
    <w:qFormat/>
    <w:rsid w:val="003004a8"/>
    <w:rPr/>
  </w:style>
  <w:style w:type="character" w:styleId="Style14">
    <w:name w:val="Символ нумерації"/>
    <w:qFormat/>
    <w:rPr/>
  </w:style>
  <w:style w:type="paragraph" w:styleId="Style15" w:customStyle="1">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rsid w:val="005819db"/>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18">
    <w:name w:val="Caption"/>
    <w:basedOn w:val="Normal"/>
    <w:qFormat/>
    <w:pPr>
      <w:suppressLineNumbers/>
      <w:spacing w:before="120" w:after="120"/>
    </w:pPr>
    <w:rPr>
      <w:rFonts w:cs="Arial"/>
      <w:i/>
      <w:iCs/>
      <w:sz w:val="24"/>
      <w:szCs w:val="24"/>
    </w:rPr>
  </w:style>
  <w:style w:type="paragraph" w:styleId="Style19">
    <w:name w:val="Покажчик"/>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Textbody" w:customStyle="1">
    <w:name w:val="Text body"/>
    <w:basedOn w:val="Normal"/>
    <w:qFormat/>
    <w:rsid w:val="00f60a2a"/>
    <w:pPr>
      <w:suppressAutoHyphens w:val="true"/>
      <w:spacing w:lineRule="auto" w:line="288" w:before="0" w:after="140"/>
      <w:textAlignment w:val="baseline"/>
    </w:pPr>
    <w:rPr>
      <w:rFonts w:ascii="Liberation Serif" w:hAnsi="Liberation Serif" w:eastAsia="SimSun" w:cs="Mangal"/>
      <w:kern w:val="2"/>
      <w:sz w:val="24"/>
      <w:szCs w:val="24"/>
      <w:lang w:val="en-US" w:eastAsia="zh-CN" w:bidi="hi-IN"/>
    </w:rPr>
  </w:style>
  <w:style w:type="paragraph" w:styleId="ListParagraph">
    <w:name w:val="List Paragraph"/>
    <w:basedOn w:val="Normal"/>
    <w:uiPriority w:val="1"/>
    <w:qFormat/>
    <w:rsid w:val="00f60a2a"/>
    <w:pPr>
      <w:spacing w:before="0" w:after="160"/>
      <w:ind w:left="720" w:hanging="0"/>
      <w:contextualSpacing/>
    </w:pPr>
    <w:rPr/>
  </w:style>
  <w:style w:type="paragraph" w:styleId="NormalWeb">
    <w:name w:val="Normal (Web)"/>
    <w:basedOn w:val="Normal"/>
    <w:uiPriority w:val="99"/>
    <w:semiHidden/>
    <w:unhideWhenUsed/>
    <w:qFormat/>
    <w:rsid w:val="00ca417e"/>
    <w:pPr>
      <w:spacing w:lineRule="auto" w:line="240" w:beforeAutospacing="1" w:afterAutospacing="1"/>
    </w:pPr>
    <w:rPr>
      <w:rFonts w:ascii="Times New Roman" w:hAnsi="Times New Roman" w:eastAsia="Times New Roman" w:cs="Times New Roman"/>
      <w:sz w:val="24"/>
      <w:szCs w:val="24"/>
      <w:lang w:eastAsia="ru-RU"/>
    </w:rPr>
  </w:style>
  <w:style w:type="paragraph" w:styleId="Style20" w:customStyle="1">
    <w:name w:val="Нормальний текст"/>
    <w:basedOn w:val="Normal"/>
    <w:qFormat/>
    <w:rsid w:val="00c863c3"/>
    <w:pPr>
      <w:spacing w:lineRule="auto" w:line="240" w:before="120" w:after="0"/>
      <w:ind w:firstLine="567"/>
    </w:pPr>
    <w:rPr>
      <w:rFonts w:ascii="Antiqua" w:hAnsi="Antiqua" w:eastAsia="Times New Roman" w:cs="Times New Roman"/>
      <w:sz w:val="26"/>
      <w:szCs w:val="20"/>
      <w:lang w:val="uk-UA" w:eastAsia="ru-RU"/>
    </w:rPr>
  </w:style>
  <w:style w:type="paragraph" w:styleId="Rvps2" w:customStyle="1">
    <w:name w:val="rvps2"/>
    <w:basedOn w:val="Normal"/>
    <w:qFormat/>
    <w:rsid w:val="001817bd"/>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39"/>
    <w:rsid w:val="00ca417e"/>
    <w:rPr>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Application>LibreOffice/7.4.7.2$Windows_X86_64 LibreOffice_project/723314e595e8007d3cf785c16538505a1c878ca5</Application>
  <AppVersion>15.0000</AppVersion>
  <Pages>11</Pages>
  <Words>4330</Words>
  <Characters>29156</Characters>
  <CharactersWithSpaces>33135</CharactersWithSpaces>
  <Paragraphs>201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2024-08-30T15:19:00Z</dcterms:created>
  <dc:creator>Пользователь Windows</dc:creator>
  <dc:description/>
  <dc:language>uk-UA</dc:language>
  <cp:lastModifiedBy/>
  <cp:lastPrinted>2024-09-24T12:10:57Z</cp:lastPrinted>
  <dcterms:modified xsi:type="dcterms:W3CDTF">2024-09-24T12:15:38Z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